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259 KAGB — Beschlüsse der Anleger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Anlagebedingungen eines Immobilien-Sondervermögens haben für den Fall der Aussetzung der Rücknahme von Anteilen gemäß § 257 vorzusehen, dass die Anleger durch Mehrheitsbeschluss in die Veräußerung bestimmter Vermögensgegenstände einwilligen können, auch wenn die Veräußerung nicht zu angemessenen Bedingungen im Sinne des § 257 Absatz 1 Satz 3 erfolgt. Ein Widerruf der Einwilligung kommt nicht in Betracht. Die Einwilligung verpflichtet die AIF-Kapitalverwaltungsgesellschaft nicht zur Veräußerung.</w:t>
      </w:r>
    </w:p>
    <w:p>
      <w:r>
        <w:t xml:space="preserve">(2) Ein Beschluss der Anleger ist nur wirksam, wenn mindestens 30 Prozent der Stimmrechte bei der Beschlussfassung vertreten waren. § 5 Absatz 4 Satz 1 und Absatz 6 Satz 1 sowie die §§ 6 bis 20 des Schuldverschreibungsgesetzes über Beschlüsse der Gläubiger gelten für Beschlüsse der Anleger, mit denen diese eine Einwilligung erteilen oder versagen, mit der Maßgabe entsprechend, dass</w:t>
      </w:r>
    </w:p>
    <w:p>
      <w:pPr>
        <w:ind w:left="420"/>
      </w:pPr>
      <w:r>
        <w:t xml:space="preserve">1. an die Stelle der ausstehenden Schuldverschreibungen die ausgegebenen Investmentanteile treten,</w:t>
      </w:r>
    </w:p>
    <w:p>
      <w:pPr>
        <w:ind w:left="420"/>
      </w:pPr>
      <w:r>
        <w:t xml:space="preserve">2. an die Stelle des Schuldners die AIF-Kapitalverwaltungsgesellschaft tritt und</w:t>
      </w:r>
    </w:p>
    <w:p>
      <w:pPr>
        <w:ind w:left="420"/>
      </w:pPr>
      <w:r>
        <w:t xml:space="preserve">3. an die Stelle der Gläubigerversammlung die Anlegerversammlung tritt.</w:t>
      </w:r>
    </w:p>
    <w:p>
      <w:r>
        <w:t xml:space="preserve">Eine einberufene Anlegerversammlung bleibt von der Wiederaufnahme der Anteilrücknahme unberührt.</w:t>
      </w:r>
    </w:p>
    <w:p>
      <w:r>
        <w:t xml:space="preserve">(3) Die Abstimmung soll ohne Versammlung durchgeführt werden, wenn nicht außergewöhnliche Umstände eine Versammlung zur Information der Anleger erforderlich machen.</w:t>
      </w:r>
    </w:p>
    <w:p>
      <w:r>
        <w:rPr>
          <w:color w:val="555555"/>
          <w:sz w:val="17"/>
        </w:rPr>
        <w:t xml:space="preserve">Zitiervorschlag: § 259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https://recht.nulegal.eu/gesetze/KAGB/259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