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258 KAGB — Aussetzung nach Kündigung</w:t>
      </w:r>
    </w:p>
    <w:p>
      <w:r>
        <w:rPr>
          <w:color w:val="555555"/>
          <w:sz w:val="18"/>
        </w:rPr>
        <w:t xml:space="preserve">Kapitalanlagegesetzbuch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Außergewöhnliche Umstände im Sinne des § 98 Absatz 2 Satz 1 liegen vor, wenn die AIF-Kapitalverwaltungsgesellschaft die Kündigung der Verwaltung des Immobilien-Sondervermögens erklärt hat.</w:t>
      </w:r>
    </w:p>
    <w:p>
      <w:r>
        <w:t xml:space="preserve">(2) Eine AIF-Kapitalverwaltungsgesellschaft, die die Verwaltung eines Immobilien-Sondervermögens gekündigt hat, ist bis zum Erlöschen des Verwaltungsrechts berechtigt und verpflichtet, in Abstimmung mit der Verwahrstelle sämtliche Vermögensgegenstände dieses Sondervermögens zu angemessen Bedingungen oder mit Einwilligung der Anleger gemäß § 259 zu veräußern.</w:t>
      </w:r>
    </w:p>
    <w:p>
      <w:r>
        <w:t xml:space="preserve">(3) Während einer Aussetzung der Rücknahme nach § 98 Absatz 2 oder nach Absatz 1 in Verbindung mit § 98 Absatz 2 sind § 239 sowie die in § 244 genannten Anlaufbegrenzungen nicht anzuwenden, soweit die Veräußerung von Vermögensgegenständen des Sondervermögens es erfordert, dass diese Vorschriften im Interesse der Anleger nicht angewendet werden.</w:t>
      </w:r>
    </w:p>
    <w:p>
      <w:r>
        <w:t xml:space="preserve">(4) Aus den Erlösen aus Veräußerungen nach Absatz 2 ist den Anlegern in Abstimmung mit der Verwahrstelle ungeachtet des § 252 ein halbjährlicher Abschlag auszuzahlen, soweit</w:t>
      </w:r>
    </w:p>
    <w:p>
      <w:pPr>
        <w:ind w:left="420"/>
      </w:pPr>
      <w:r>
        <w:t xml:space="preserve">1. diese Erlöse nicht zur Sicherstellung einer ordnungsgemäßen laufenden Bewirtschaftung benötigt werden und</w:t>
      </w:r>
    </w:p>
    <w:p>
      <w:pPr>
        <w:ind w:left="420"/>
      </w:pPr>
      <w:r>
        <w:t xml:space="preserve">2. nicht Gewährleistungszusagen aus den Veräußerungsgeschäften oder zu erwartende Auseinandersetzungskosten den Einbehalt im Sondervermögen verlangen.</w:t>
      </w:r>
    </w:p>
    <w:p>
      <w:r>
        <w:rPr>
          <w:color w:val="555555"/>
          <w:sz w:val="17"/>
        </w:rPr>
        <w:t xml:space="preserve">Zitiervorschlag: § 258 KAGB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https://recht.nulegal.eu/gesetze/KAGB/258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