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256 KAGB — Zusätzliche Angaben im Verkaufsprospekt und in den Anlagebedingungen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Der Verkaufsprospekt muss zusätzlich zu den Angaben nach § 165 folgende Angaben enthalten:</w:t>
      </w:r>
    </w:p>
    <w:p>
      <w:pPr>
        <w:ind w:left="420"/>
      </w:pPr>
      <w:r>
        <w:t xml:space="preserve">1. einen ausdrücklichen, drucktechnisch hervorgehobenen Hinweis, dass der Anleger abweichend von § 98 Absatz 1 Satz 1 von der AIF-Kapitalverwaltungsgesellschaft die Rücknahme von Anteilen und die Auszahlung des Anteilswertes nur zu den Rücknahmeterminen verlangen kann, die in den Anlagebedingungen bestimmt sind,</w:t>
      </w:r>
    </w:p>
    <w:p>
      <w:pPr>
        <w:ind w:left="420"/>
      </w:pPr>
      <w:r>
        <w:t xml:space="preserve">2. alle Voraussetzungen und Bedingungen für die Rückgabe und Auszahlung von Anteilen aus dem Sondervermögen Zug um Zug gegen Rückgabe der Anteile und</w:t>
      </w:r>
    </w:p>
    <w:p>
      <w:pPr>
        <w:ind w:left="420"/>
      </w:pPr>
      <w:r>
        <w:t xml:space="preserve">3. sofern ergänzend zu § 255 in den Anlagebedingungen Liquiditätsmanagementinstrumente im Sinne des § 1 Absatz 19 Nummer 25a vereinbart sind, die Angabe, dass diese Liquiditätsmanagementinstrumente auch auf Anteile im Sinne des § 346 Absatz 1 angewendet werden.</w:t>
      </w:r>
    </w:p>
    <w:p>
      <w:r>
        <w:t xml:space="preserve">(2) Die Angaben nach Absatz 1 Nummer 2 und 3 sind in die Anlagebedingungen aufzunehmen.</w:t>
      </w:r>
    </w:p>
    <w:p>
      <w:r>
        <w:rPr>
          <w:color w:val="555555"/>
          <w:sz w:val="17"/>
        </w:rPr>
        <w:t xml:space="preserve">Zitiervorschlag: § 256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