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255 KAGB — Sonderregeln für die Ausgabe und Rücknahme von Anteilen</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Die AIF-Kapitalverwaltungsgesellschaft hat die Ausgabe von Anteilen vorübergehend auszusetzen, wenn eine Verletzung der Anlagegrenzen nach den Liquiditätsvorschriften dieses Abschnitts oder der Anlagebedingungen droht.</w:t>
      </w:r>
    </w:p>
    <w:p>
      <w:r>
        <w:t xml:space="preserve">(2) In Abweichung von § 98 Absatz 1 Satz 1 können die Anlagebedingungen von Immobilien-Sondervermögen vorsehen, dass die Rücknahme von Anteilen nur zu bestimmten Rücknahmeterminen, jedoch mindestens alle zwölf Monate erfolgt. Neue Anteile dürfen in den Fällen des Satzes 1 nur zu den in den Anlagebedingungen festgelegten Rücknahmeterminen ausgegeben werden.</w:t>
      </w:r>
    </w:p>
    <w:p>
      <w:r>
        <w:t xml:space="preserve">(3) Die Rückgabe von Anteilen ist erst nach Ablauf einer Mindesthaltefrist von 24 Monaten möglich. Der Anleger hat nachzuweisen, dass er mindestens den in seiner Rückgabeerklärung aufgeführten Bestand an Anteilen während der gesamten 24 Monate, die dem verlangten Rücknahmetermin unmittelbar vorausgehen, durchgehend gehalten hat. Der Nachweis kann durch die depotführende Stelle in Textform als besonderer Nachweis der Anteilinhaberschaft erbracht oder auf andere in den Anlagebedingungen vorgesehene Weise geführt werden.</w:t>
      </w:r>
    </w:p>
    <w:p>
      <w:r>
        <w:t xml:space="preserve">(4) Anteilrückgaben sind unter Einhaltung einer Rückgabefrist von zwölf Monaten durch eine unwiderrufliche Rückgabeerklärung gegenüber der AIF-Kapitalverwaltungsgesellschaft zu erklären. § 227 Absatz 3 gilt entsprechend; die Anlagebedingungen können eine andere Form für den Nachweis vorsehen, dass die Rückgabe in Einklang mit Satz 1 erfolgt.</w:t>
      </w:r>
    </w:p>
    <w:p>
      <w:r>
        <w:t xml:space="preserve">(5) Mit Einhaltung der Voraussetzungen von § 257 Absatz 1 gelten die Anforderungen des § 30a Absatz 1 dahingehend als erfüllt, dass die Kapitalverwaltungsgesellschaft mit dem Liquiditätsmanagementinstrument der Verlängerung der Rückgabefrist im Sinne von § 1 Absatz 19 Nummer 25a Buchstabe c ein geeignetes Liquiditätsmanagementinstrument ausgewählt hat.</w:t>
      </w:r>
    </w:p>
    <w:p>
      <w:r>
        <w:t xml:space="preserve">(6) Die nach Absatz 5 und § 30a Absatz 1 ausgewählten Liquiditätsmanagementinstrumente gelten auch für Anteile im Sinne von § 346 Absatz 1.</w:t>
      </w:r>
    </w:p>
    <w:p>
      <w:r>
        <w:rPr>
          <w:color w:val="555555"/>
          <w:sz w:val="17"/>
        </w:rPr>
        <w:t xml:space="preserve">Zitiervorschlag: § 255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