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254 KAGB — Kreditaufnahme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AIF-Kapitalverwaltungsgesellschaft darf unbeschadet des § 199 für gemeinschaftliche Rechnung der Anleger Kredite nur bis zur Höhe von 30 Prozent des Verkehrswertes der Immobilien, die zum Sondervermögen gehören, und nur dann aufnehmen und halten, wenn</w:t>
      </w:r>
    </w:p>
    <w:p>
      <w:pPr>
        <w:ind w:left="420"/>
      </w:pPr>
      <w:r>
        <w:t xml:space="preserve">1. dies in den Anlagebedingungen vorgesehen ist,</w:t>
      </w:r>
    </w:p>
    <w:p>
      <w:pPr>
        <w:ind w:left="420"/>
      </w:pPr>
      <w:r>
        <w:t xml:space="preserve">2. die Kreditaufnahme mit einer ordnungsgemäßen Wirtschaftsführung vereinbar ist,</w:t>
      </w:r>
    </w:p>
    <w:p>
      <w:pPr>
        <w:ind w:left="420"/>
      </w:pPr>
      <w:r>
        <w:t xml:space="preserve">3. die Bedingungen der Kreditaufnahme marktüblich sind und</w:t>
      </w:r>
    </w:p>
    <w:p>
      <w:pPr>
        <w:ind w:left="420"/>
      </w:pPr>
      <w:r>
        <w:t xml:space="preserve">4. die Grenze nach § 260 Absatz 3 Nummer 3 nicht überschritten wird.</w:t>
      </w:r>
    </w:p>
    <w:p>
      <w:r>
        <w:t xml:space="preserve">Eine Kreditaufnahme zur Finanzierung der Rücknahme von Anteilen ist nur nach Maßgabe des § 199 zulässig.</w:t>
      </w:r>
    </w:p>
    <w:p>
      <w:r>
        <w:t xml:space="preserve">(2) Entsprechend der Beteiligungshöhe sind die von der Immobilien-Gesellschaft aufgenommenen Kredite bei dem Immobilien-Sondervermögen bei der Berechnung der in Absatz 1 genannten Grenzen zu berücksichtigen.</w:t>
      </w:r>
    </w:p>
    <w:p>
      <w:r>
        <w:rPr>
          <w:color w:val="555555"/>
          <w:sz w:val="17"/>
        </w:rPr>
        <w:t xml:space="preserve">Zitiervorschlag: § 254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