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253 KAGB — Liquiditätsvorschriften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AIF-Kapitalverwaltungsgesellschaft darf für Rechnung eines Immobilien-Sondervermögens einen Betrag, der insgesamt 49 Prozent des Wertes des Sondervermögens entspricht, nur halten in</w:t>
      </w:r>
    </w:p>
    <w:p>
      <w:pPr>
        <w:ind w:left="420"/>
      </w:pPr>
      <w:r>
        <w:t xml:space="preserve">1. Bankguthaben;</w:t>
      </w:r>
    </w:p>
    <w:p>
      <w:pPr>
        <w:ind w:left="420"/>
      </w:pPr>
      <w:r>
        <w:t xml:space="preserve">2. Geldmarktinstrumenten;</w:t>
      </w:r>
    </w:p>
    <w:p>
      <w:pPr>
        <w:ind w:left="420"/>
      </w:pPr>
      <w:r>
        <w:t xml:space="preserve">3. Investmentanteilen nach Maßgabe des § 196 oder Anteilen an Spezial-Sondervermögen nach Maßgabe des § 196 Absatz 1 Satz 2, die nach den Anlagebedingungen ausschließlich in Vermögensgegenstände nach den Nummern 1, 2 und 4 Buchstabe a anlegen dürfen; die §§ 207 und 210 Absatz 3 sind auf Spezial-Sondervermögen nicht anzuwenden;</w:t>
      </w:r>
    </w:p>
    <w:p>
      <w:pPr>
        <w:ind w:left="420"/>
      </w:pPr>
      <w:r>
        <w:t xml:space="preserve">4. Wertpapieren, die</w:t>
      </w:r>
    </w:p>
    <w:p>
      <w:pPr>
        <w:ind w:left="780"/>
      </w:pPr>
      <w:r>
        <w:t xml:space="preserve">a) zur Sicherung der in Artikel 18.1 des Protokolls über die Satzung des Europäischen Systems der Zentralbanken und der Europäischen Zentralbank vom 7. Februar 1992 (BGBl. 1992 II S. 1299) genannten Kreditgeschäfte von der Europäischen Zentralbank oder der Deutschen Bundesbank zugelassen sind oder deren Zulassung nach den Emissionsbedingungen beantragt wird, sofern die Zulassung innerhalb eines Jahres nach ihrer Ausgabe erfolgt,</w:t>
      </w:r>
    </w:p>
    <w:p>
      <w:pPr>
        <w:ind w:left="780"/>
      </w:pPr>
      <w:r>
        <w:t xml:space="preserve">b) entweder an einem organisierten Markt im Sinne von § 2 Absatz 11 des Wertpapierhandelsgesetzes zum Handel zugelassen sind oder die festverzinsliche Wertpapiere sind, soweit ihr Wert einen Betrag von 5 Prozent des Wertes des Sondervermögens nicht übersteigt;</w:t>
      </w:r>
    </w:p>
    <w:p>
      <w:pPr>
        <w:ind w:left="420"/>
      </w:pPr>
      <w:r>
        <w:t xml:space="preserve">5. Aktien von REIT-Aktiengesellschaften oder vergleichbare Anteile ausländischer juristischer Personen, die an einem der in § 193 Absatz 1 Satz 1 Nummer 1 und 2 bezeichneten Märkte zugelassen oder in einen dieser Märkte einbezogen sind, soweit der Wert dieser Aktien oder Anteile einen Betrag von 5 Prozent des Wertes des Sondervermögens nicht überschreitet und die in Artikel 2 Absatz 1 der Richtlinie 2007/16/EG genannten Kriterien erfüllt sind, und</w:t>
      </w:r>
    </w:p>
    <w:p>
      <w:pPr>
        <w:ind w:left="420"/>
      </w:pPr>
      <w:r>
        <w:t xml:space="preserve">6. Derivaten zu Absicherungszwecken.</w:t>
      </w:r>
    </w:p>
    <w:p>
      <w:r>
        <w:t xml:space="preserve">Die AIF-Kapitalverwaltungsgesellschaft hat sicherzustellen, dass hiervon ein nach den überprüfbaren und dokumentierten Berechnungen des Liquiditätsmanagements ausreichender Betrag, der mindestens 5 Prozent des Wertes des Sondervermögens entspricht, für die Rücknahme von Anteilen verfügbar ist.</w:t>
      </w:r>
    </w:p>
    <w:p>
      <w:r>
        <w:t xml:space="preserve">(2) Bei der Berechnung der Anlagegrenze nach Absatz 1 Satz 1 sind folgende gebundene Mittel des Immobilien-Sondervermögens abzuziehen:</w:t>
      </w:r>
    </w:p>
    <w:p>
      <w:pPr>
        <w:ind w:left="420"/>
      </w:pPr>
      <w:r>
        <w:t xml:space="preserve">1. die Mittel, die zur Sicherstellung einer ordnungsgemäßen laufenden Bewirtschaftung benötigt werden;</w:t>
      </w:r>
    </w:p>
    <w:p>
      <w:pPr>
        <w:ind w:left="420"/>
      </w:pPr>
      <w:r>
        <w:t xml:space="preserve">2. die Mittel, die für die nächste Ausschüttung vorgesehen sind;</w:t>
      </w:r>
    </w:p>
    <w:p>
      <w:pPr>
        <w:ind w:left="420"/>
      </w:pPr>
      <w:r>
        <w:t xml:space="preserve">3. die Mittel, die erforderlich werden zur Erfüllung von Verbindlichkeiten</w:t>
      </w:r>
    </w:p>
    <w:p>
      <w:pPr>
        <w:ind w:left="780"/>
      </w:pPr>
      <w:r>
        <w:t xml:space="preserve">a) aus rechtswirksam geschlossenen Grundstückskaufverträgen,</w:t>
      </w:r>
    </w:p>
    <w:p>
      <w:pPr>
        <w:ind w:left="780"/>
      </w:pPr>
      <w:r>
        <w:t xml:space="preserve">b) aus Darlehensverträgen,</w:t>
      </w:r>
    </w:p>
    <w:p>
      <w:pPr>
        <w:ind w:left="780"/>
      </w:pPr>
      <w:r>
        <w:t xml:space="preserve">c) für die bevorstehenden Anlagen in bestimmten Immobilien,</w:t>
      </w:r>
    </w:p>
    <w:p>
      <w:pPr>
        <w:ind w:left="780"/>
      </w:pPr>
      <w:r>
        <w:t xml:space="preserve">d) für bestimmte Baumaßnahmen sowie</w:t>
      </w:r>
    </w:p>
    <w:p>
      <w:pPr>
        <w:ind w:left="780"/>
      </w:pPr>
      <w:r>
        <w:t xml:space="preserve">e) aus Bauverträgen,</w:t>
      </w:r>
    </w:p>
    <w:p>
      <w:pPr>
        <w:ind w:left="420"/>
      </w:pPr>
      <w:r>
        <w:t xml:space="preserve">sofern die Verbindlichkeiten in den folgenden zwei Jahren fällig werden.</w:t>
      </w:r>
    </w:p>
    <w:p>
      <w:r>
        <w:t xml:space="preserve">(3) Die AIF-Kapitalverwaltungsgesellschaft darf für Rechnung eines Immobilien-Sondervermögens Wertpapier-Darlehen nur auf unbestimmte Zeit gewähren.</w:t>
      </w:r>
    </w:p>
    <w:p>
      <w:r>
        <w:rPr>
          <w:color w:val="555555"/>
          <w:sz w:val="17"/>
        </w:rPr>
        <w:t xml:space="preserve">Zitiervorschlag: § 253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https://recht.nulegal.eu/gesetze/KAGB/253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