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252 KAGB — Ertragsverwendung</w:t>
      </w:r>
    </w:p>
    <w:p>
      <w:r>
        <w:rPr>
          <w:color w:val="555555"/>
          <w:sz w:val="18"/>
        </w:rPr>
        <w:t xml:space="preserve">Kapitalanlagegesetzbuch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Anlagebedingungen müssen vorsehen, dass Erträge des Sondervermögens, die für künftige Instandsetzungen von Vermögensgegenständen des Sondervermögens erforderlich sind, nicht ausgeschüttet werden dürfen.</w:t>
      </w:r>
    </w:p>
    <w:p>
      <w:r>
        <w:t xml:space="preserve">(2) Mindestens 50 Prozent der Erträge des Sondervermögens müssen ausgeschüttet werden, sofern sie nicht für künftige erforderliche Instandsetzungen einzubehalten sind; realisierte Gewinne aus Veräußerungsgeschäften sind keine Erträge im Sinne dieses Absatzes.</w:t>
      </w:r>
    </w:p>
    <w:p>
      <w:r>
        <w:t xml:space="preserve">(3) Die Anlagebedingungen müssen angeben, ob und in welchem Umfang Erträge zum Ausgleich von Wertminderungen der Vermögensgegenstände des Sondervermögens und für künftige erforderliche Instandsetzungen nach Absatz 1 einbehalten werden.</w:t>
      </w:r>
    </w:p>
    <w:p>
      <w:r>
        <w:rPr>
          <w:color w:val="555555"/>
          <w:sz w:val="17"/>
        </w:rPr>
        <w:t xml:space="preserve">Zitiervorschlag: § 252 KAGB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https://recht.nulegal.eu/gesetze/KAGB/252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