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250 KAGB — Sonderregeln für den Bewerter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§ 216 ist mit der Maßgabe anzuwenden, dass</w:t>
      </w:r>
    </w:p>
    <w:p>
      <w:pPr>
        <w:ind w:left="420"/>
      </w:pPr>
      <w:r>
        <w:t xml:space="preserve">1. die Bewertung der Vermögensgegenstände im Sinne des § 231 Absatz 1 Satz 1 Nummer 1 bis 6 nur durch zwei externe Bewerter erfolgen darf,</w:t>
      </w:r>
    </w:p>
    <w:p>
      <w:pPr>
        <w:ind w:left="420"/>
      </w:pPr>
      <w:r>
        <w:t xml:space="preserve">2. der Wert der Beteiligung an einer Immobilien-Gesellschaft durch einen Abschlussprüfer im Sinne des § 319 Absatz 1 Satz 1 und 2 des Handelsgesetzbuchs zu ermitteln ist.</w:t>
      </w:r>
    </w:p>
    <w:p>
      <w:r>
        <w:t xml:space="preserve">(2) Ein externer Bewerter darf für eine AIF-Kapitalverwaltungsgesellschaft für die Bewertung von Vermögensgegenständen im Sinne des § 231 Absatz 1 Satz 1 Nummer 1 bis 6 nur für einen Zeitraum von maximal drei Jahren tätig sein. Die Einnahmen des externen Bewerters aus seiner Tätigkeit für die AIF-Kapitalverwaltungsgesellschaft dürfen 30 Prozent seiner Gesamteinnahmen, bezogen auf das Geschäftsjahr des externen Bewerters, nicht überschreiten. Die Bundesanstalt kann verlangen, dass ihr entsprechende Nachweise vorgelegt werden. Die AIF-Kapitalverwaltungsgesellschaft darf einen externen Bewerter erst nach Ablauf von zwei Jahren seit Ende des Zeitraums nach Satz 1 erneut als externen Bewerter bestellen.</w:t>
      </w:r>
    </w:p>
    <w:p>
      <w:r>
        <w:rPr>
          <w:color w:val="555555"/>
          <w:sz w:val="17"/>
        </w:rPr>
        <w:t xml:space="preserve">Zitiervorschlag: § 250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