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249 KAGB — Sonderregeln für das Bewertungsverfahren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169 ist mit der Maßgabe anzuwenden, dass die Bewertungsrichtlinien für Immobilien-Sondervermögen zusätzlich vorzusehen haben, dass</w:t>
      </w:r>
    </w:p>
    <w:p>
      <w:pPr>
        <w:ind w:left="420"/>
      </w:pPr>
      <w:r>
        <w:t xml:space="preserve">1. die Vermögensgegenstände im Sinne des § 231 Absatz 1 Satz 1 Nummer 1 bis 6 von zwei externen, voneinander unabhängigen Bewertern, die die Anforderungen nach § 216 Absatz 1 Satz 1 Nummer 1 und Satz 2, Absatz 2 bis 5 erfüllen und die die Bewertung der Vermögensgegenstände unabhängig voneinander vornehmen, bewertet werden und</w:t>
      </w:r>
    </w:p>
    <w:p>
      <w:pPr>
        <w:ind w:left="420"/>
      </w:pPr>
      <w:r>
        <w:t xml:space="preserve">2. die externen Bewerter im Sinne der Nummer 1 Objektbesichtigungen vornehmen.</w:t>
      </w:r>
    </w:p>
    <w:p>
      <w:r>
        <w:t xml:space="preserve">(2) Die AIF-Kapitalverwaltungsgesellschaft oder die Immobilien-Gesellschaft muss die Immobilien-Gesellschaft, an der sie beteiligt ist, vertraglich verpflichten,</w:t>
      </w:r>
    </w:p>
    <w:p>
      <w:pPr>
        <w:ind w:left="420"/>
      </w:pPr>
      <w:r>
        <w:t xml:space="preserve">1. bei der AIF-Kapitalverwaltungsgesellschaft und der Verwahrstelle monatlich Vermögensaufstellungen einzureichen und</w:t>
      </w:r>
    </w:p>
    <w:p>
      <w:pPr>
        <w:ind w:left="420"/>
      </w:pPr>
      <w:r>
        <w:t xml:space="preserve">2. die Vermögensaufstellungen einmal jährlich anhand des von einem Abschlussprüfer mit einem Bestätigungsvermerk versehenen Jahresabschlusses der Immobilien-Gesellschaft prüfen zu lassen.</w:t>
      </w:r>
    </w:p>
    <w:p>
      <w:r>
        <w:t xml:space="preserve">(3) Der auf Grund der Vermögensaufstellungen ermittelte Wert der Beteiligung an einer Immobilien-Gesellschaft ist den Bewertungen zur laufenden Preisermittlung zugrunde zu legen.</w:t>
      </w:r>
    </w:p>
    <w:p>
      <w:r>
        <w:rPr>
          <w:color w:val="555555"/>
          <w:sz w:val="17"/>
        </w:rPr>
        <w:t xml:space="preserve">Zitiervorschlag: § 249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