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248 KAGB — Sonderregeln für die Bewertung</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 168 ist mit den Maßgaben der Absätze 2 bis 4 anzuwenden.</w:t>
      </w:r>
    </w:p>
    <w:p>
      <w:r>
        <w:t xml:space="preserve">(2) Für Vermögensgegenstände im Sinne des § 231 Absatz 1 sowie des § 234 ist im Zeitpunkt des Erwerbs und danach nicht länger als zwölf Monate der Kaufpreis dieser Vermögensgegenstände anzusetzen. Abweichend von Satz 1 ist der Wert erneut zu ermitteln und anzusetzen, wenn nach Auffassung der AIF-Kapitalverwaltungsgesellschaft der Ansatz des Kaufpreises auf Grund von Änderungen wesentlicher Bewertungsfaktoren nicht mehr sachgerecht ist; die AIF-Kapitalverwaltungsgesellschaft hat ihre Entscheidung und die Gründe dafür nachvollziehbar zu dokumentieren.</w:t>
      </w:r>
    </w:p>
    <w:p>
      <w:r>
        <w:t xml:space="preserve">(3) Die Anschaffungsnebenkosten eines Vermögensgegenstandes im Sinne des § 231 Absatz 1 sowie des § 234 sind gesondert anzusetzen und über die voraussichtliche Dauer seiner Zugehörigkeit zum Immobilien-Sondervermögen in gleichen Jahresbeträgen abzuschreiben, längstens jedoch über einen Zeitraum von zehn Jahren. Wird ein Vermögensgegenstand veräußert, sind die Anschaffungsnebenkosten in voller Höhe abzuschreiben. Die Abschreibungen sind nicht in der Ertrags- und Aufwandsrechnung zu berücksichtigen.</w:t>
      </w:r>
    </w:p>
    <w:p>
      <w:r>
        <w:t xml:space="preserve">(4) Der Wert der Beteiligung an einer Immobilien-Gesellschaft ist nach den für die Bewertung von Unternehmensbeteiligungen allgemein anerkannten Grundsätzen zu ermitteln. Die im Jahresabschluss oder in der Vermögensaufstellung der Immobilien-Gesellschaft ausgewiesenen Immobilien sind dabei mit dem Wert anzusetzen, der entsprechend § 249 Absatz 1 festgestellt wurde.</w:t>
      </w:r>
    </w:p>
    <w:p>
      <w:r>
        <w:rPr>
          <w:color w:val="555555"/>
          <w:sz w:val="17"/>
        </w:rPr>
        <w:t xml:space="preserve">Zitiervorschlag: § 248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