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247 KAGB — Vermögensaufstellung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AIF-Kapitalverwaltungsgesellschaft hat in der Vermögensaufstellung nach § 101 Absatz 1 Satz 3 Nummer 1 den Bestand der zum Sondervermögen gehörenden Immobilien und sonstigen Vermögensgegenstände aufzuführen und dabei Folgendes anzugeben:</w:t>
      </w:r>
    </w:p>
    <w:p>
      <w:pPr>
        <w:ind w:left="420"/>
      </w:pPr>
      <w:r>
        <w:t xml:space="preserve">1. Größe, Art und Lage sowie Bau- und Erwerbsjahr eines Grundstücks,</w:t>
      </w:r>
    </w:p>
    <w:p>
      <w:pPr>
        <w:ind w:left="420"/>
      </w:pPr>
      <w:r>
        <w:t xml:space="preserve">2. Gebäudenutzfläche, Leerstandsquote, Nutzungsentgeltausfallquote, Fremdfinanzierungsquote,</w:t>
      </w:r>
    </w:p>
    <w:p>
      <w:pPr>
        <w:ind w:left="420"/>
      </w:pPr>
      <w:r>
        <w:t xml:space="preserve">3. Restlaufzeiten der Nutzungsverträge,</w:t>
      </w:r>
    </w:p>
    <w:p>
      <w:pPr>
        <w:ind w:left="420"/>
      </w:pPr>
      <w:r>
        <w:t xml:space="preserve">4. Verkehrswert oder im Fall des § 248 Absatz 2 Satz 1 den Kaufpreis,</w:t>
      </w:r>
    </w:p>
    <w:p>
      <w:pPr>
        <w:ind w:left="420"/>
      </w:pPr>
      <w:r>
        <w:t xml:space="preserve">5. Nebenkosten bei Anschaffung von Vermögensgegenständen im Sinne des § 231 Absatz 1 und des § 234,</w:t>
      </w:r>
    </w:p>
    <w:p>
      <w:pPr>
        <w:ind w:left="420"/>
      </w:pPr>
      <w:r>
        <w:t xml:space="preserve">6. wesentliche Ergebnisse der nach Maßgabe dieses Unterabschnitts erstellten Wertgutachten,</w:t>
      </w:r>
    </w:p>
    <w:p>
      <w:pPr>
        <w:ind w:left="420"/>
      </w:pPr>
      <w:r>
        <w:t xml:space="preserve">7. etwaige Bestands- oder Projektentwicklungsmaßnahmen und</w:t>
      </w:r>
    </w:p>
    <w:p>
      <w:pPr>
        <w:ind w:left="420"/>
      </w:pPr>
      <w:r>
        <w:t xml:space="preserve">8. sonstige wesentliche Merkmale der zum Sondervermögen gehörenden Immobilien und sonstigen Vermögensgegenstände.</w:t>
      </w:r>
    </w:p>
    <w:p>
      <w:r>
        <w:t xml:space="preserve">Die im Berichtszeitraum getätigten Käufe und Verkäufe von Immobilien und Beteiligungen an Immobilien-Gesellschaften sind in einer Anlage zur Vermögensaufstellung anzugeben.</w:t>
      </w:r>
    </w:p>
    <w:p>
      <w:r>
        <w:t xml:space="preserve">(2) Bei einer Beteiligung nach § 234 hat die AIF-Kapitalverwaltungsgesellschaft oder die Immobilien-Gesellschaft in der Vermögensaufstellung anzugeben:</w:t>
      </w:r>
    </w:p>
    <w:p>
      <w:pPr>
        <w:ind w:left="420"/>
      </w:pPr>
      <w:r>
        <w:t xml:space="preserve">1. Firma, Rechtsform und Sitz der Immobilien-Gesellschaft,</w:t>
      </w:r>
    </w:p>
    <w:p>
      <w:pPr>
        <w:ind w:left="420"/>
      </w:pPr>
      <w:r>
        <w:t xml:space="preserve">2. das Gesellschaftskapital,</w:t>
      </w:r>
    </w:p>
    <w:p>
      <w:pPr>
        <w:ind w:left="420"/>
      </w:pPr>
      <w:r>
        <w:t xml:space="preserve">3. die Höhe der Beteiligung und den Zeitpunkt ihres Erwerbs durch die AIF-Kapitalverwaltungsgesellschaft und</w:t>
      </w:r>
    </w:p>
    <w:p>
      <w:pPr>
        <w:ind w:left="420"/>
      </w:pPr>
      <w:r>
        <w:t xml:space="preserve">4. Anzahl der durch die AIF-Kapitalverwaltungsgesellschaft oder Dritte nach § 240 gewährten Darlehen sowie die jeweiligen Beträge.</w:t>
      </w:r>
    </w:p>
    <w:p>
      <w:r>
        <w:t xml:space="preserve">Als Verkehrswert der Beteiligung ist der nach § 248 Absatz 4 ermittelte Wert anzusetzen. Die Angaben nach Absatz 1 für die Immobilien und sonstigen Vermögensgegenstände der Immobilien-Gesellschaft sind nachrichtlich aufzuführen und besonders zu kennzeichnen.</w:t>
      </w:r>
    </w:p>
    <w:p>
      <w:r>
        <w:rPr>
          <w:color w:val="555555"/>
          <w:sz w:val="17"/>
        </w:rPr>
        <w:t xml:space="preserve">Zitiervorschlag: § 247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