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246 KAGB — Verfügungsbeschränkung</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Die AIF-Kapitalverwaltungsgesellschaft hat dafür zu sorgen, dass die Verfügungsbeschränkung nach § 84 Absatz 1 Nummer 3 in das Grundbuch eingetragen wird. Ist bei ausländischen Grundstücken die Eintragung der Verfügungsbeschränkung in ein Grundbuch oder ein vergleichbares Register nicht möglich, so ist die Wirksamkeit der Verfügungsbeschränkung in anderer geeigneter Form sicherzustellen.</w:t>
      </w:r>
    </w:p>
    <w:p>
      <w:r>
        <w:t xml:space="preserve">(2) Die AIF-Kapitalverwaltungsgesellschaft kann gegenüber dem Grundbuchamt die Bestellung der Verwahrstelle durch eine Bescheinigung der Bundesanstalt nachweisen, aus der sich ergibt, dass die Bundesanstalt die Auswahl als Verwahrstelle genehmigt hat und von ihrem Recht, der AIF-Kapitalverwaltungsgesellschaft einen Wechsel der Verwahrstelle aufzuerlegen, keinen Gebrauch gemacht hat.</w:t>
      </w:r>
    </w:p>
    <w:p>
      <w:r>
        <w:rPr>
          <w:color w:val="555555"/>
          <w:sz w:val="17"/>
        </w:rPr>
        <w:t xml:space="preserve">Zitiervorschlag: § 246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