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241 KAGB — Zahlungen, Überwachung durch die Verwahrstelle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AIF-Kapitalverwaltungsgesellschaft hat mit der Immobilien-Gesellschaft zu vereinbaren, dass die der AIF-Kapitalverwaltungsgesellschaft für Rechnung des Immobilien-Sondervermögens zustehenden Zahlungen, der Liquidationserlös und sonstige der AIF-Kapitalverwaltungsgesellschaft für Rechnung des Immobilien-Sondervermögens zustehende Beträge unverzüglich auf ein Konto nach § 83 Absatz 6 Satz 2 einzuzahlen sind. Satz 1 gilt entsprechend für Immobilien-Gesellschaften, die Beteiligungen an anderen Immobilien-Gesellschaften erwerben oder halten.</w:t>
      </w:r>
    </w:p>
    <w:p>
      <w:r>
        <w:rPr>
          <w:color w:val="555555"/>
          <w:sz w:val="17"/>
        </w:rPr>
        <w:t xml:space="preserve">Zitiervorschlag: § 241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