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239 KAGB — Verbot und Einschränkung von Erwerb und Veräußerung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Vermögensgegenstand nach § 231 Absatz 1 oder nach § 234 darf für Rechnung eines Immobilien-Sondervermögens nicht erworben werden, wenn er bereits im Eigentum der AIF-Kapitalverwaltungsgesellschaft steht. Er darf ferner für Rechnung eines Immobilien-Sondervermögens nicht von einem Mutter-, Schwester- oder Tochterunternehmen der AIF-Kapitalverwaltungsgesellschaft oder von einer anderen Gesellschaft erworben werden, an der die AIF-Kapitalverwaltungsgesellschaft eine bedeutende Beteiligung hält.</w:t>
      </w:r>
    </w:p>
    <w:p>
      <w:r>
        <w:t xml:space="preserve">(2) Eine AIF-Kapitalverwaltungsgesellschaft darf nur mit Zustimmung der Bundesanstalt einen für Rechnung eines Immobilien-Sondervermögens gehaltenen Vermögensgegenstand nach § 231 Absatz 1 oder nach § 234</w:t>
      </w:r>
    </w:p>
    <w:p>
      <w:pPr>
        <w:ind w:left="420"/>
      </w:pPr>
      <w:r>
        <w:t xml:space="preserve">1. für eigene Rechnung erwerben,</w:t>
      </w:r>
    </w:p>
    <w:p>
      <w:pPr>
        <w:ind w:left="420"/>
      </w:pPr>
      <w:r>
        <w:t xml:space="preserve">2. an ein Unternehmen im Sinne des Absatzes 1 Satz 2 veräußern oder</w:t>
      </w:r>
    </w:p>
    <w:p>
      <w:pPr>
        <w:ind w:left="420"/>
      </w:pPr>
      <w:r>
        <w:t xml:space="preserve">3. auf einen anderen AIF übertragen, der von ihr oder einem Unternehmen im Sinne des Absatzes 1 Satz 2 verwaltet wird.</w:t>
      </w:r>
    </w:p>
    <w:p>
      <w:r>
        <w:rPr>
          <w:color w:val="555555"/>
          <w:sz w:val="17"/>
        </w:rPr>
        <w:t xml:space="preserve">Zitiervorschlag: § 239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