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237 KAGB — Umfang der Beteiligung; Anlagegrenzen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Wert aller Vermögensgegenstände, die zum Vermögen der Immobilien-Gesellschaften gehören, an denen die AIF-Kapitalverwaltungsgesellschaft für Rechnung des Immobilien-Sondervermögens beteiligt ist, darf 49 Prozent des Wertes des Immobilien-Sondervermögens nicht übersteigen.</w:t>
      </w:r>
    </w:p>
    <w:p>
      <w:r>
        <w:t xml:space="preserve">(2) Der Wert von Vermögensgegenständen, die zum Vermögen einer Immobilien-Gesellschaft gehören, an der die AIF-Kapitalverwaltungsgesellschaft für Rechnung des Immobilien-Sondervermögens zu 100 Prozent des Kapitals und der Stimmrechte beteiligt ist, wird auf die Anlagegrenze nach Absatz 1 nicht angerechnet.</w:t>
      </w:r>
    </w:p>
    <w:p>
      <w:r>
        <w:t xml:space="preserve">(3) Unbeschadet der Anlagegrenze nach Absatz 1 darf der Wert der Vermögensgegenstände, die zum Vermögen von Immobilien-Gesellschaften gehören, an denen die AIF-Kapitalverwaltungsgesellschaft für Rechnung des Immobilien-Sondervermögens nicht mit einer Kapitalmehrheit beteiligt ist, 30 Prozent des Wertes des Immobilien-Sondervermögens nicht überschreiten.</w:t>
      </w:r>
    </w:p>
    <w:p>
      <w:r>
        <w:t xml:space="preserve">(4) Bei der Berechnung des Wertes des Sondervermögens nach den Absätzen 1 und 3 werden die aufgenommenen Darlehen nicht abgezogen.</w:t>
      </w:r>
    </w:p>
    <w:p>
      <w:r>
        <w:t xml:space="preserve">(5) Nicht anzurechnen auf die Anlagegrenzen der Absätze 3 und 4 ist die von einer AIF-Kapitalverwaltungsgesellschaft für Rechnung eines einzelnen Immobilien-Sondervermögens gehaltene Kapitalbeteiligung von weniger als 50 Prozent des Wertes der Immobilien-Gesellschaft, wenn die Beteiligung der AIF-Kapitalverwaltungsgesellschaft infolge zusätzlicher Kapitalbeteiligungen die Anforderungen des § 234 Satz 1 Nummer 4 erfüllt.</w:t>
      </w:r>
    </w:p>
    <w:p>
      <w:r>
        <w:t xml:space="preserve">(6) Beteiligungen an derselben Immobilien-Gesellschaft dürfen nicht sowohl für Rechnung eines oder mehrerer Publikums-AIF als auch für Rechnung eines oder mehrerer Spezial-AIF gehalten werden.</w:t>
      </w:r>
    </w:p>
    <w:p>
      <w:r>
        <w:t xml:space="preserve">(7) Wenn nach Erwerb einer Minderheitsbeteiligung die Voraussetzungen für den Erwerb und das Halten der Beteiligung nicht mehr erfüllt sind, hat die AIF-Kapitalverwaltungsgesellschaft die Veräußerung der Beteiligung unter Wahrung der Interessen der Anleger anzustreben.</w:t>
      </w:r>
    </w:p>
    <w:p>
      <w:r>
        <w:rPr>
          <w:color w:val="555555"/>
          <w:sz w:val="17"/>
        </w:rPr>
        <w:t xml:space="preserve">Zitiervorschlag: § 237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https://recht.nulegal.eu/gesetze/KAGB/237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