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236 KAGB — Erwerb der Beteiligung; Wertermittlung durch Abschlussprüfer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Bevor die AIF-Kapitalverwaltungsgesellschaft die Beteiligung an einer Immobilien-Gesellschaft erwirbt, ist der Wert der Immobilien-Gesellschaft von einem Abschlussprüfer im Sinne des § 319 Absatz 1 Satz 1 und 2 des Handelsgesetzbuchs zu ermitteln.</w:t>
      </w:r>
    </w:p>
    <w:p>
      <w:r>
        <w:t xml:space="preserve">(2) Bei der Wertermittlung ist von dem letzten mit dem Bestätigungsvermerk eines Abschlussprüfers versehenen Jahresabschluss der Immobilien-Gesellschaft auszugehen. Liegt der Jahresabschluss mehr als drei Monate vor dem Bewertungsstichtag, ist von den Vermögenswerten und Verbindlichkeiten der Immobilien-Gesellschaft auszugehen, die in einer vom Abschlussprüfer geprüften aktuellen Vermögensaufstellung nachgewiesen sind.</w:t>
      </w:r>
    </w:p>
    <w:p>
      <w:r>
        <w:t xml:space="preserve">(3) Für die Bewertung gelten die §§ 248 und 250 Absatz 1 Nummer 2 und Absatz 2 mit der Maßgabe, dass die im Jahresabschluss oder in der Vermögensaufstellung der Immobilien-Gesellschaft ausgewiesenen Immobilien mit dem Wert anzusetzen sind, der</w:t>
      </w:r>
    </w:p>
    <w:p>
      <w:pPr>
        <w:ind w:left="420"/>
      </w:pPr>
      <w:r>
        <w:t xml:space="preserve">1. zuvor bei einem Wert der Immobilie von</w:t>
      </w:r>
    </w:p>
    <w:p>
      <w:pPr>
        <w:ind w:left="780"/>
      </w:pPr>
      <w:r>
        <w:t xml:space="preserve">a) bis zu einschließlich 50 Millionen Euro von einem externen Bewerter, der die Anforderungen nach § 216 Absatz 1 Satz 1 Nummer 1 und Satz 2, Absatz 2 bis 5 erfüllt, oder</w:t>
      </w:r>
    </w:p>
    <w:p>
      <w:pPr>
        <w:ind w:left="780"/>
      </w:pPr>
      <w:r>
        <w:t xml:space="preserve">b) mehr als 50 Millionen Euro von zwei externen, voneinander unabhängigen Bewertern, die die Anforderungen nach § 216 Absatz 1 Satz 1 Nummer 1 und Satz 2, Absatz 2 bis 5 erfüllen und die die Bewertung der Vermögensgegenstände unabhängig voneinander vornehmen,</w:t>
      </w:r>
    </w:p>
    <w:p>
      <w:pPr>
        <w:ind w:left="420"/>
      </w:pPr>
      <w:r>
        <w:t xml:space="preserve">festgestellt wurde und wobei</w:t>
      </w:r>
    </w:p>
    <w:p>
      <w:pPr>
        <w:ind w:left="420"/>
      </w:pPr>
      <w:r>
        <w:t xml:space="preserve">2. der Bewerter im Sinne von Nummer 1 Buchstabe a oder die Bewerter im Sinne von Nummer 1 Buchstabe b</w:t>
      </w:r>
    </w:p>
    <w:p>
      <w:pPr>
        <w:ind w:left="780"/>
      </w:pPr>
      <w:r>
        <w:t xml:space="preserve">a) Objektbesichtigungen vorgenommen hat oder haben,</w:t>
      </w:r>
    </w:p>
    <w:p>
      <w:pPr>
        <w:ind w:left="780"/>
      </w:pPr>
      <w:r>
        <w:t xml:space="preserve">b) nicht zugleich die regelmäßige Bewertung gemäß den §§ 249 und 251 Absatz 1 durchführt oder durchführen und</w:t>
      </w:r>
    </w:p>
    <w:p>
      <w:pPr>
        <w:ind w:left="780"/>
      </w:pPr>
      <w:r>
        <w:t xml:space="preserve">c) nicht zugleich Abschlussprüfer ist oder sind.</w:t>
      </w:r>
    </w:p>
    <w:p>
      <w:r>
        <w:rPr>
          <w:color w:val="555555"/>
          <w:sz w:val="17"/>
        </w:rPr>
        <w:t xml:space="preserve">Zitiervorschlag: § 236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