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235 KAGB — Anforderungen an die Immobilien-Gesellschaften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AIF-Kapitalverwaltungsgesellschaft darf für Rechnung des Immobilien-Sondervermögens Beteiligungen nur an solchen Immobilien-Gesellschaften erwerben und halten,</w:t>
      </w:r>
    </w:p>
    <w:p>
      <w:pPr>
        <w:ind w:left="420"/>
      </w:pPr>
      <w:r>
        <w:t xml:space="preserve">1. deren Unternehmensgegenstand im Gesellschaftsvertrag oder in der Satzung auf Tätigkeiten beschränkt ist, die die AIF-Kapitalverwaltungsgesellschaft für das Immobilien-Sondervermögen ausüben darf, und</w:t>
      </w:r>
    </w:p>
    <w:p>
      <w:pPr>
        <w:ind w:left="420"/>
      </w:pPr>
      <w:r>
        <w:t xml:space="preserve">2. die nach dem Gesellschaftsvertrag oder der Satzung nur Vermögensgegenstände im Sinne des § 231 Absatz 1 Satz 1 Nummer 1 bis 5 und 7 sowie Absatz 3 oder Beteiligungen an anderen Immobilien-Gesellschaften erwerben dürfen, die nach den Anlagebedingungen unmittelbar für das Immobilien-Sondervermögen erworben werden dürfen.</w:t>
      </w:r>
    </w:p>
    <w:p>
      <w:r>
        <w:t xml:space="preserve">(2) Die Satzung oder der Gesellschaftsvertrag der Immobilien-Gesellschaft muss sicherstellen, dass</w:t>
      </w:r>
    </w:p>
    <w:p>
      <w:pPr>
        <w:ind w:left="420"/>
      </w:pPr>
      <w:r>
        <w:t xml:space="preserve">1. die von der Immobilien-Gesellschaft neu zu erwerbenden Vermögensgegenstände vor ihrem Erwerb entsprechend § 231 Absatz 2 bewertet werden,</w:t>
      </w:r>
    </w:p>
    <w:p>
      <w:pPr>
        <w:ind w:left="420"/>
      </w:pPr>
      <w:r>
        <w:t xml:space="preserve">2. der externe Bewerter nicht zugleich die regelmäßige Bewertung gemäß den §§ 249 und 251 Absatz 1 durchführt und</w:t>
      </w:r>
    </w:p>
    <w:p>
      <w:pPr>
        <w:ind w:left="420"/>
      </w:pPr>
      <w:r>
        <w:t xml:space="preserve">3. die Immobilien-Gesellschaft eine Immobilie oder eine Beteiligung an einer anderen Immobilien-Gesellschaft nur erwerben darf, wenn der dem Umfang der Beteiligung entsprechende Wert der Immobilie oder der Beteiligung an der anderen Immobilien-Gesellschaft 15 Prozent des Wertes des Immobilien-Sondervermögens, für dessen Rechnung eine Beteiligung an der Immobilien-Gesellschaft gehalten wird, nicht übersteigt.</w:t>
      </w:r>
    </w:p>
    <w:p>
      <w:r>
        <w:t xml:space="preserve">§ 243 Absatz 2 und § 250 Absatz 2 gelten entsprechend.</w:t>
      </w:r>
    </w:p>
    <w:p>
      <w:r>
        <w:t xml:space="preserve">(3) Entspricht der Gesellschaftsvertrag oder die Satzung der Immobilien-Gesellschaft nicht den Vorschriften der Absätze 1 und 2, so darf die AIF-Kapitalverwaltungsgesellschaft die Beteiligung an der Immobilien-Gesellschaft nur erwerben, wenn sichergestellt ist, dass der Gesellschaftsvertrag oder die Satzung unverzüglich nach dem Erwerb der Beteiligung entsprechend geändert wird.</w:t>
      </w:r>
    </w:p>
    <w:p>
      <w:r>
        <w:t xml:space="preserve">(4) Die Gesellschafter einer Immobilien-Gesellschaft, an der die AIF-Kapitalverwaltungsgesellschaft für Rechnung des Immobilien-Sondervermögens beteiligt ist, müssen ihre Einlagen vollständig eingezahlt haben.</w:t>
      </w:r>
    </w:p>
    <w:p>
      <w:r>
        <w:rPr>
          <w:color w:val="555555"/>
          <w:sz w:val="17"/>
        </w:rPr>
        <w:t xml:space="preserve">Zitiervorschlag: § 235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