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234 KAGB — Beteiligung an Immobilien-Gesellschaften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10.09.2021 (konsolidierte Textfassung, kein amtliches Inkrafttretensdatum)</w:t>
      </w:r>
    </w:p>
    <w:p>
      <w:r>
        <w:t xml:space="preserve">Die AIF-Kapitalverwaltungsgesellschaft darf für Rechnung des Immobilien-Sondervermögens Beteiligungen an Immobilien-Gesellschaften nur erwerben und halten, wenn</w:t>
      </w:r>
    </w:p>
    <w:p>
      <w:pPr>
        <w:ind w:left="420"/>
      </w:pPr>
      <w:r>
        <w:t xml:space="preserve">1. die Anlagebedingungen dies vorsehen,</w:t>
      </w:r>
    </w:p>
    <w:p>
      <w:pPr>
        <w:ind w:left="420"/>
      </w:pPr>
      <w:r>
        <w:t xml:space="preserve">2. die Beteiligung einen dauernden Ertrag erwarten lässt,</w:t>
      </w:r>
    </w:p>
    <w:p>
      <w:pPr>
        <w:ind w:left="420"/>
      </w:pPr>
      <w:r>
        <w:t xml:space="preserve">3. durch Vereinbarung zwischen AIF-Kapitalverwaltungsgesellschaft und Immobilien-Gesellschaft die Befugnisse der Verwahrstelle nach § 84 Absatz 1 Nummer 5 sichergestellt sind,</w:t>
      </w:r>
    </w:p>
    <w:p>
      <w:pPr>
        <w:ind w:left="420"/>
      </w:pPr>
      <w:r>
        <w:t xml:space="preserve">4. die AIF-Kapitalverwaltungsgesellschaft bei der Immobilien-Gesellschaft die Stimmen- und Kapitalmehrheit hat, die für eine Änderung der Satzung erforderlich ist,</w:t>
      </w:r>
    </w:p>
    <w:p>
      <w:pPr>
        <w:ind w:left="420"/>
      </w:pPr>
      <w:r>
        <w:t xml:space="preserve">5. durch die Rechtsform der Immobilien-Gesellschaft eine über die geleistete Einlage hinausgehende Nachschusspflicht ausgeschlossen ist und</w:t>
      </w:r>
    </w:p>
    <w:p>
      <w:pPr>
        <w:ind w:left="420"/>
      </w:pPr>
      <w:r>
        <w:t xml:space="preserve">6. die AIF-Kapitalverwaltungsgesellschaft für Rechnung des Immobilien-Sondervermögens unmittelbar oder mittelbar mit 100 Prozent des Kapitals und der Stimmrechte an der Immobilien-Gesellschaft beteiligt ist, es sei denn, dass die Immobilien-Gesellschaft mit 100 Prozent des Kapitals und der Stimmrechte an allen von ihr unmittelbar oder mittelbar gehaltenen Immobilien-Gesellschaften beteiligt ist.</w:t>
      </w:r>
    </w:p>
    <w:p>
      <w:r>
        <w:t xml:space="preserve">Abweichend von Satz 1 Nummer 4 darf die AIF-Kapitalverwaltungsgesellschaft Beteiligungen an einer Immobilien-Gesellschaft auch dann erwerben und halten, wenn sie nicht die für eine Änderung der Satzung erforderliche Stimmen- und Kapitalmehrheit hat (Minderheitsbeteiligung). In diesem Fall ist die Anlagegrenze nach § 237 Absatz 3 zu beachten.</w:t>
      </w:r>
    </w:p>
    <w:p>
      <w:r>
        <w:rPr>
          <w:color w:val="555555"/>
          <w:sz w:val="17"/>
        </w:rPr>
        <w:t xml:space="preserve">Zitiervorschlag: § 234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https://recht.nulegal.eu/gesetze/KAGB/234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