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233 KAGB — Vermögensgegenstände in Drittstaaten; Währungsrisiko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Vermögensgegenstände, die sich in Staaten befinden, die keine Vertragsstaaten des Abkommens über den Europäischen Wirtschaftsraum sind, dürfen für ein Immobilien-Sondervermögen nur dann erworben werden, wenn</w:t>
      </w:r>
    </w:p>
    <w:p>
      <w:pPr>
        <w:ind w:left="420"/>
      </w:pPr>
      <w:r>
        <w:t xml:space="preserve">1. die Anlagebedingungen dies vorsehen;</w:t>
      </w:r>
    </w:p>
    <w:p>
      <w:pPr>
        <w:ind w:left="420"/>
      </w:pPr>
      <w:r>
        <w:t xml:space="preserve">2. eine angemessene regionale Streuung der Vermögensgegenstände gewährleistet ist;</w:t>
      </w:r>
    </w:p>
    <w:p>
      <w:pPr>
        <w:ind w:left="420"/>
      </w:pPr>
      <w:r>
        <w:t xml:space="preserve">3. diese Staaten und der jeweilige Anteil des Sondervermögens, der in diesen Staaten höchstens angelegt werden darf, in den Anlagebedingungen angegeben sind;</w:t>
      </w:r>
    </w:p>
    <w:p>
      <w:pPr>
        <w:ind w:left="420"/>
      </w:pPr>
      <w:r>
        <w:t xml:space="preserve">4. in diesen Staaten die freie Übertragbarkeit der Vermögensgegenstände gewährleistet und der Kapitalverkehr nicht beschränkt ist;</w:t>
      </w:r>
    </w:p>
    <w:p>
      <w:pPr>
        <w:ind w:left="420"/>
      </w:pPr>
      <w:r>
        <w:t xml:space="preserve">5. die Wahrnehmung der Rechte und Pflichten der Verwahrstelle gewährleistet ist.</w:t>
      </w:r>
    </w:p>
    <w:p>
      <w:r>
        <w:t xml:space="preserve">(2) Die AIF-Kapitalverwaltungsgesellschaft hat sicherzustellen, dass die für Rechnung eines Immobilien-Sondervermögens gehaltenen Vermögensgegenstände nur insoweit einem Währungsrisiko unterliegen, als der Wert der einem solchen Risiko unterliegenden Vermögensgegenstände 30 Prozent des Wertes des Sondervermögens nicht übersteigt.</w:t>
      </w:r>
    </w:p>
    <w:p>
      <w:r>
        <w:rPr>
          <w:color w:val="555555"/>
          <w:sz w:val="17"/>
        </w:rPr>
        <w:t xml:space="preserve">Zitiervorschlag: § 233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https://recht.nulegal.eu/gesetze/KAGB/233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