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232 KAGB — Erbbaurechtsbestellung</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Die AIF-Kapitalverwaltungsgesellschaft darf ein Grundstück nur unter den in den Anlagebedingungen festgelegten Bedingungen mit einem Erbbaurecht belasten.</w:t>
      </w:r>
    </w:p>
    <w:p>
      <w:r>
        <w:t xml:space="preserve">(2) Vor der Bestellung des Erbbaurechts ist die Angemessenheit des Erbbauzinses entsprechend § 231 Absatz 2 zu bestätigen.</w:t>
      </w:r>
    </w:p>
    <w:p>
      <w:r>
        <w:t xml:space="preserve">(3) Innerhalb von zwei Monaten nach der Bestellung des Erbbaurechts ist der Wert des Grundstücks entsprechend § 231 Absatz 2 neu festzustellen.</w:t>
      </w:r>
    </w:p>
    <w:p>
      <w:r>
        <w:t xml:space="preserve">(4) Ein Erbbaurecht darf nicht bestellt werden, wenn der Wert des Grundstücks, an dem das Erbbaurecht bestellt werden soll, zusammen mit dem Wert der Grundstücke, an denen bereits Erbbaurechte bestellt worden sind, 10 Prozent des Wertes des Immobilien-Sondervermögens übersteigt.</w:t>
      </w:r>
    </w:p>
    <w:p>
      <w:r>
        <w:t xml:space="preserve">(5) Die Verlängerung eines Erbbaurechts gilt als Neubestellung.</w:t>
      </w:r>
    </w:p>
    <w:p>
      <w:r>
        <w:rPr>
          <w:color w:val="555555"/>
          <w:sz w:val="17"/>
        </w:rPr>
        <w:t xml:space="preserve">Zitiervorschlag: § 232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