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231 KAGB — Zulässige Vermögensgegenstände; Anlagegrenzen</w:t>
      </w:r>
    </w:p>
    <w:p>
      <w:r>
        <w:rPr>
          <w:color w:val="555555"/>
          <w:sz w:val="18"/>
        </w:rPr>
        <w:t xml:space="preserve">Kapitalanlagegesetzbuch</w:t>
      </w:r>
    </w:p>
    <w:p>
      <w:r>
        <w:rPr>
          <w:color w:val="555555"/>
          <w:sz w:val="18"/>
        </w:rPr>
        <w:t xml:space="preserve">Stand: 14.03.2026 (konsolidierte Textfassung, kein amtliches Inkrafttretensdatum)</w:t>
      </w:r>
    </w:p>
    <w:p>
      <w:r>
        <w:t xml:space="preserve">(1) Die AIF-Kapitalverwaltungsgesellschaft darf für ein Immobilien-Sondervermögen nur folgende Vermögensgegenstände erwerben:</w:t>
      </w:r>
    </w:p>
    <w:p>
      <w:pPr>
        <w:ind w:left="420"/>
      </w:pPr>
      <w:r>
        <w:t xml:space="preserve">1. Mietwohngrundstücke, Geschäftsgrundstücke und gemischt genutzte Grundstücke;</w:t>
      </w:r>
    </w:p>
    <w:p>
      <w:pPr>
        <w:ind w:left="420"/>
      </w:pPr>
      <w:r>
        <w:t xml:space="preserve">2. Grundstücke im Zustand der Bebauung, wenn</w:t>
      </w:r>
    </w:p>
    <w:p>
      <w:pPr>
        <w:ind w:left="780"/>
      </w:pPr>
      <w:r>
        <w:t xml:space="preserve">a) die genehmigte Bauplanung die Nutzung als Mietwohngrundstücke, Geschäftsgrundstücke oder gemischt genutzte Grundstücke vorsieht,</w:t>
      </w:r>
    </w:p>
    <w:p>
      <w:pPr>
        <w:ind w:left="780"/>
      </w:pPr>
      <w:r>
        <w:t xml:space="preserve">b) mit einem Abschluss der Bebauung in angemessener Zeit zu rechnen ist und</w:t>
      </w:r>
    </w:p>
    <w:p>
      <w:pPr>
        <w:ind w:left="780"/>
      </w:pPr>
      <w:r>
        <w:t xml:space="preserve">c) die Aufwendungen für die Grundstücke insgesamt 20 Prozent des Wertes des Sondervermögens nicht überschreiten;</w:t>
      </w:r>
    </w:p>
    <w:p>
      <w:pPr>
        <w:ind w:left="420"/>
      </w:pPr>
      <w:r>
        <w:t xml:space="preserve">3. unbebaute Grundstücke, die für eine alsbaldige eigene Bebauung zur Nutzung als Mietwohngrundstücke, Geschäftsgrundstücke oder gemischt genutzte Grundstücke bestimmt und geeignet sind, wenn zur Zeit des Erwerbs ihr Wert zusammen mit dem Wert der unbebauten Grundstücke, die sich bereits in dem Sondervermögen befinden, 20 Prozent des Wertes des Sondervermögens nicht übersteigt;</w:t>
      </w:r>
    </w:p>
    <w:p>
      <w:pPr>
        <w:ind w:left="420"/>
      </w:pPr>
      <w:r>
        <w:t xml:space="preserve">4. Erbbaurechte unter den Voraussetzungen der Nummern 1 bis 3;</w:t>
      </w:r>
    </w:p>
    <w:p>
      <w:pPr>
        <w:ind w:left="420"/>
      </w:pPr>
      <w:r>
        <w:t xml:space="preserve">5. andere Grundstücke und andere Erbbaurechte sowie Rechte in Form des Wohnungseigentums, Teileigentums, Wohnungserbbaurechts und Teilerbbaurechts, wenn zur Zeit des Erwerbs ihr Wert zusammen mit dem Wert der Grundstücke und Rechte gleicher Art, die sich bereits in dem Sondervermögen befinden, 15 Prozent des Wertes des Sondervermögens nicht überschreitet;</w:t>
      </w:r>
    </w:p>
    <w:p>
      <w:pPr>
        <w:ind w:left="420"/>
      </w:pPr>
      <w:r>
        <w:t xml:space="preserve">6. Nießbrauchrechte an Mietwohngrundstücken, Geschäftsgrundstücken und gemischt genutzten Grundstücken, die der Erfüllung öffentlicher Aufgaben dienen, wenn zur Zeit der Bestellung die Aufwendungen für das Nießbrauchrecht zusammen mit dem Wert der Nießbrauchrechte, die sich bereits im Sondervermögen befinden, 10 Prozent des Wertes des Sondervermögens nicht übersteigen;</w:t>
      </w:r>
    </w:p>
    <w:p>
      <w:pPr>
        <w:ind w:left="420"/>
      </w:pPr>
      <w:r>
        <w:t xml:space="preserve">7. die in den §§ 234 und 253 genannten Vermögensgegenstände;</w:t>
      </w:r>
    </w:p>
    <w:p>
      <w:pPr>
        <w:ind w:left="420"/>
      </w:pPr>
      <w:r>
        <w:t xml:space="preserve">8. Beteiligungen an Infrastruktur-Projektgesellschaften, deren Unternehmensgegenstand im Gesellschaftsvertrag oder in der Satzung darauf beschränkt ist, Anlagen zu errichten, zu erwerben, zu betreiben, zu bewirtschaften oder zu halten, die zur Bewirtschaftung von erneuerbaren Energien im Sinne von § 1 Absatz 19 Nummer 6a bestimmt und geeignet sind, wenn zur Zeit des Erwerbs der Beteiligung ihr Wert zusammen mit dem Wert weiterer solcher Beteiligungen, die sich bereits in dem Sondervermögen befinden, 15 Prozent des Wertes des Sondervermögens nicht übersteigt.</w:t>
      </w:r>
    </w:p>
    <w:p>
      <w:r>
        <w:t xml:space="preserve">Weitere Voraussetzung für den Erwerb der in den Nummern 5 und 6 genannten Vermögensgegenstände ist, dass deren Erwerb in den Anlagebedingungen vorgesehen sein muss und dass die Vermögensgegenstände einen dauernden Ertrag erwarten lassen müssen.</w:t>
      </w:r>
    </w:p>
    <w:p>
      <w:r>
        <w:t xml:space="preserve">(2) Ein in Absatz 1 Nummer 1 bis 6 genannter Vermögensgegenstand darf nur erworben werden, wenn</w:t>
      </w:r>
    </w:p>
    <w:p>
      <w:pPr>
        <w:ind w:left="420"/>
      </w:pPr>
      <w:r>
        <w:t xml:space="preserve">1. der Vermögensgegenstand zuvor bei einem Wert des</w:t>
      </w:r>
    </w:p>
    <w:p>
      <w:pPr>
        <w:ind w:left="780"/>
      </w:pPr>
      <w:r>
        <w:t xml:space="preserve">a) Vermögensgegenstands bis zu einschließlich 50 Millionen Euro von einem externen Bewerter, der die Anforderungen nach § 216 Absatz 1 Satz 1 Nummer 1 und Satz 2, Absatz 2 bis 5 erfüllt, oder</w:t>
      </w:r>
    </w:p>
    <w:p>
      <w:pPr>
        <w:ind w:left="780"/>
      </w:pPr>
      <w:r>
        <w:t xml:space="preserve">b) Vermögensgegenstands über 50 Millionen Euro von zwei externen, voneinander unabhängigen Bewertern, die die Anforderungen nach § 216 Absatz 1 Satz 1 Nummer 1 und Satz 2, Absatz 2 bis 5 erfüllen und die die Bewertung des Vermögensgegenstands unabhängig voneinander vornehmen,</w:t>
      </w:r>
    </w:p>
    <w:p>
      <w:pPr>
        <w:ind w:left="420"/>
      </w:pPr>
      <w:r>
        <w:t xml:space="preserve">bewertet wurde,</w:t>
      </w:r>
    </w:p>
    <w:p>
      <w:pPr>
        <w:ind w:left="420"/>
      </w:pPr>
      <w:r>
        <w:t xml:space="preserve">2. der externe Bewerter im Sinne von Nummer 1 Buchstabe a oder die externen Bewerter im Sinne von Nummer 1 Buchstabe b Objektbesichtigungen vorgenommen haben,</w:t>
      </w:r>
    </w:p>
    <w:p>
      <w:pPr>
        <w:ind w:left="420"/>
      </w:pPr>
      <w:r>
        <w:t xml:space="preserve">3. der externe Bewerter im Sinne von Nummer 1 Buchstabe a oder die externen Bewerter im Sinne von Nummer 1 Buchstabe b nicht zugleich die regelmäßige Bewertung gemäß den §§ 249 und 251 Absatz 1 durchführt oder durchführen und</w:t>
      </w:r>
    </w:p>
    <w:p>
      <w:pPr>
        <w:ind w:left="420"/>
      </w:pPr>
      <w:r>
        <w:t xml:space="preserve">4. die aus dem Sondervermögen zu erbringende Gegenleistung den ermittelten Wert nicht oder nur unwesentlich übersteigt.</w:t>
      </w:r>
    </w:p>
    <w:p>
      <w:r>
        <w:t xml:space="preserve">§ 250 Absatz 2 gilt entsprechend. Entsprechendes gilt für Vereinbarungen über die Bemessung des Erbbauzinses und über dessen etwaige spätere Änderung.</w:t>
      </w:r>
    </w:p>
    <w:p>
      <w:r>
        <w:t xml:space="preserve">(3) Für ein Immobilien-Sondervermögen dürfen auch Gegenstände erworben werden, die</w:t>
      </w:r>
    </w:p>
    <w:p>
      <w:pPr>
        <w:ind w:left="420"/>
      </w:pPr>
      <w:r>
        <w:t xml:space="preserve">1. zur Bewirtschaftung der Vermögensgegenstände des Immobilien-Sondervermögens erforderlich sind,</w:t>
      </w:r>
    </w:p>
    <w:p>
      <w:pPr>
        <w:ind w:left="420"/>
      </w:pPr>
      <w:r>
        <w:t xml:space="preserve">2. der Bewirtschaftung von erneuerbaren Energien im Sinne von § 1 Absatz 19 Nummer 6a dienen, oder</w:t>
      </w:r>
    </w:p>
    <w:p>
      <w:pPr>
        <w:ind w:left="420"/>
      </w:pPr>
      <w:r>
        <w:t xml:space="preserve">3. für den Betrieb von Ladestationen für Elektromobilität erforderlich sind.</w:t>
      </w:r>
    </w:p>
    <w:p>
      <w:r>
        <w:t xml:space="preserve">(4) Bei der Berechnung des Wertes des Sondervermögens gemäß Absatz 1 Satz 1 Nummer 2, 3, 5, 6 und 8, § 232 Absatz 4 sowie bei der Angabe des Anteils des Sondervermögens gemäß § 233 Absatz 1 Nummer 3 werden die aufgenommenen Darlehen nicht abgezogen.</w:t>
      </w:r>
    </w:p>
    <w:p>
      <w:r>
        <w:t xml:space="preserve">(5) Im Fall des § 234 sind die von der Immobilien-Gesellschaft gehaltenen Vermögensgegenstände bei dem Immobilien-Sondervermögen bei der Anwendung der in den Absätzen 1 und 2, §§ 232 und 233 genannten Anlagebeschränkungen und der Berechnung der dort genannten Grenzen entsprechend der Beteiligungshöhe zu berücksichtigen.</w:t>
      </w:r>
    </w:p>
    <w:p>
      <w:r>
        <w:t xml:space="preserve">(6) Gegenstände nach Absatz 3 dürfen auch von der Kapitalverwaltungsgesellschaft für das Immobilien-Sondervermögen betrieben werden.</w:t>
      </w:r>
    </w:p>
    <w:p>
      <w:r>
        <w:rPr>
          <w:color w:val="555555"/>
          <w:sz w:val="17"/>
        </w:rPr>
        <w:t xml:space="preserve">Zitiervorschlag: § 231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