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230 KAGB — Immobilien-Sondervermögen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Für die Verwaltung von Immobilien-Sondervermögen gelten die Vorschriften der §§ 192 bis 211 sinngemäß, soweit sich aus den §§ 231 bis 260 nichts anderes ergibt.</w:t>
      </w:r>
    </w:p>
    <w:p>
      <w:r>
        <w:t xml:space="preserve">(2) Das Immobilien-Sondervermögen darf nicht für eine begrenzte Dauer gebildet werden.</w:t>
      </w:r>
    </w:p>
    <w:p>
      <w:r>
        <w:t xml:space="preserve">(3) Die Absätze 1 und 2 gelten für offene Immobilien-Investmentvermögen, welche nicht als Sondervermögen aufgelegt werden, entsprechend.</w:t>
      </w:r>
    </w:p>
    <w:p>
      <w:r>
        <w:rPr>
          <w:color w:val="555555"/>
          <w:sz w:val="17"/>
        </w:rPr>
        <w:t xml:space="preserve">Zitiervorschlag: § 230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230 KAGB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