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KAGB — Versagung der Erlaubnis einer Kapitalverwaltungsgesellschaft</w:t>
      </w:r>
    </w:p>
    <w:p>
      <w:r>
        <w:rPr>
          <w:color w:val="555555"/>
          <w:sz w:val="18"/>
        </w:rPr>
        <w:t xml:space="preserve">Kapitalanlagegesetzbuch</w:t>
      </w:r>
    </w:p>
    <w:p>
      <w:r>
        <w:rPr>
          <w:color w:val="555555"/>
          <w:sz w:val="18"/>
        </w:rPr>
        <w:t xml:space="preserve">Stand: 18.04.2026 (konsolidierte Textfassung, kein amtliches Inkrafttretensdatum)</w:t>
      </w:r>
    </w:p>
    <w:p>
      <w:r>
        <w:t xml:space="preserve">Einer Kapitalverwaltungsgesellschaft ist die Erlaubnis zu versagen, wenn</w:t>
      </w:r>
    </w:p>
    <w:p>
      <w:pPr>
        <w:ind w:left="420"/>
      </w:pPr>
      <w:r>
        <w:t xml:space="preserve">1. das Anfangskapital nach § 25 oder im Fall des § 5 Absatz 2 Satz 1 nach § 5 Absatz 2 Satz 2 oder 3 dieses Gesetzes in Verbindung mit § 17 Absatz 1 Nummer 2 oder 3 des Wertpapierinstitutsgesetzes und die zusätzlichen Eigenmittel nach § 25 nicht zur Verfügung stehen;</w:t>
      </w:r>
    </w:p>
    <w:p>
      <w:pPr>
        <w:ind w:left="420"/>
      </w:pPr>
      <w:r>
        <w:t xml:space="preserve">2. die Kapitalverwaltungsgesellschaft nicht mindestens zwei Geschäftsleiter hat;</w:t>
      </w:r>
    </w:p>
    <w:p>
      <w:pPr>
        <w:ind w:left="420"/>
      </w:pPr>
      <w:r>
        <w:t xml:space="preserve">2a. Tatsachen vorliegen, aus denen sich ergibt, dass die zwei Geschäftsleiter</w:t>
      </w:r>
    </w:p>
    <w:p>
      <w:pPr>
        <w:ind w:left="780"/>
      </w:pPr>
      <w:r>
        <w:t xml:space="preserve">a) nicht auf Vollzeitbasis bei dieser Kapitalverwaltungsgesellschaft beschäftigt oder nicht leitende Mitglieder oder Mitglieder des Leitungsorgans dieser Kapitalverwaltungsgesellschaft sind, die auf Vollzeitbasis die Geschäfte der Kapitalverwaltungsgesellschaft führen, oder</w:t>
      </w:r>
    </w:p>
    <w:p>
      <w:pPr>
        <w:ind w:left="780"/>
      </w:pPr>
      <w:r>
        <w:t xml:space="preserve">b) ihren Wohnsitz nicht in der Europäischen Union haben;</w:t>
      </w:r>
    </w:p>
    <w:p>
      <w:pPr>
        <w:ind w:left="420"/>
      </w:pPr>
      <w:r>
        <w:t xml:space="preserve">3. Tatsachen vorliegen, aus denen sich ergibt, dass die Geschäftsleiter der Kapitalverwaltungsgesellschaft nicht zuverlässig sind oder die zur Leitung erforderliche fachliche Eignung im Sinne von § 25c Absatz 1 des Kreditwesengesetzes nicht haben;</w:t>
      </w:r>
    </w:p>
    <w:p>
      <w:pPr>
        <w:ind w:left="420"/>
      </w:pPr>
      <w:r>
        <w:t xml:space="preserve">4. Tatsachen die Annahme rechtfertigen, dass der Inhaber einer bedeutenden Beteiligung nicht zuverlässig ist oder aus anderen Gründen nicht den im Interesse einer soliden und umsichtigen Führung der Kapitalverwaltungsgesellschaft zu stellenden Ansprüchen genügt;</w:t>
      </w:r>
    </w:p>
    <w:p>
      <w:pPr>
        <w:ind w:left="420"/>
      </w:pPr>
      <w:r>
        <w:t xml:space="preserve">5. enge Verbindungen zwischen der Kapitalverwaltungsgesellschaft und anderen natürlichen oder juristischen Personen bestehen, die die Bundesanstalt bei der ordnungsgemäßen Erfüllung ihrer Aufsichtsfunktionen behindern;</w:t>
      </w:r>
    </w:p>
    <w:p>
      <w:pPr>
        <w:ind w:left="420"/>
      </w:pPr>
      <w:r>
        <w:t xml:space="preserve">6. enge Verbindungen zwischen der Kapitalverwaltungsgesellschaft und anderen natürlichen oder juristischen Personen bestehen, die den Rechts- und Verwaltungsvorschriften eines Drittstaates unterstehen, deren Anwendung die Bundesanstalt bei der ordnungsgemäßen Erfüllung ihrer Aufsichtsfunktionen behindern;</w:t>
      </w:r>
    </w:p>
    <w:p>
      <w:pPr>
        <w:ind w:left="420"/>
      </w:pPr>
      <w:r>
        <w:t xml:space="preserve">7. die Hauptverwaltung oder der satzungsmäßige Sitz der Kapitalverwaltungsgesellschaft sich nicht im Inland befindet;</w:t>
      </w:r>
    </w:p>
    <w:p>
      <w:pPr>
        <w:ind w:left="420"/>
      </w:pPr>
      <w:r>
        <w:t xml:space="preserve">8. die Kapitalverwaltungsgesellschaft nicht bereit oder in der Lage ist, die erforderlichen organisatorischen Vorkehrungen zum ordnungsgemäßen Betreiben der Geschäfte, für die sie die Erlaubnis beantragt, zu schaffen, und nicht in der Lage ist, die in diesem Gesetz festgelegten Anforderungen einzuhalten;</w:t>
      </w:r>
    </w:p>
    <w:p>
      <w:pPr>
        <w:ind w:left="420"/>
      </w:pPr>
      <w:r>
        <w:t xml:space="preserve">9. die Kapitalverwaltungsgesellschaft ausschließlich administrative Tätigkeiten, den Vertrieb von eigenen Investmentanteilen oder Tätigkeiten im Zusammenhang mit den Vermögensgegenständen des AIF erbringt, ohne auch die Portfolioverwaltung und das Risikomanagement zu erbringen;</w:t>
      </w:r>
    </w:p>
    <w:p>
      <w:pPr>
        <w:ind w:left="420"/>
      </w:pPr>
      <w:r>
        <w:t xml:space="preserve">10. die Kapitalverwaltungsgesellschaft die Portfolioverwaltung erbringt, ohne auch das Risikomanagement zu erbringen; dasselbe gilt im umgekehrten Fall;</w:t>
      </w:r>
    </w:p>
    <w:p>
      <w:pPr>
        <w:ind w:left="420"/>
      </w:pPr>
      <w:r>
        <w:t xml:space="preserve">11. andere als die in den Nummern 1 bis 10 aufgeführten Voraussetzungen für die Erlaubniserteilung nach diesem Gesetz nicht erfüllt sind.</w:t>
      </w:r>
    </w:p>
    <w:p>
      <w:r>
        <w:rPr>
          <w:color w:val="555555"/>
          <w:sz w:val="17"/>
        </w:rPr>
        <w:t xml:space="preserve">Zitiervorschlag: § 23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