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229 KAGB — Anlagebedingungen</w:t>
      </w:r>
    </w:p>
    <w:p>
      <w:r>
        <w:rPr>
          <w:color w:val="555555"/>
          <w:sz w:val="18"/>
        </w:rPr>
        <w:t xml:space="preserve">Kapitalanlagegesetzbuch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Anlagebedingungen von AIF-Kapitalverwaltungsgesellschaften, die Dach-Hedgefonds verwalten, müssen die Angaben nach Maßgabe des § 162 enthalten.</w:t>
      </w:r>
    </w:p>
    <w:p>
      <w:r>
        <w:t xml:space="preserve">(2) Ergänzend zu § 162 Absatz 2 Nummer 1 ist von den AIF-Kapitalverwaltungsgesellschaften anzugeben,</w:t>
      </w:r>
    </w:p>
    <w:p>
      <w:pPr>
        <w:ind w:left="420"/>
      </w:pPr>
      <w:r>
        <w:t xml:space="preserve">1. nach welchen Grundsätzen Zielfonds, in die sie anlegen, ausgewählt werden,</w:t>
      </w:r>
    </w:p>
    <w:p>
      <w:pPr>
        <w:ind w:left="420"/>
      </w:pPr>
      <w:r>
        <w:t xml:space="preserve">2. dass es sich bei diesen Zielfonds um Hedgefonds, EU-AIF oder ausländische AIF handelt, deren Anlagepolitik jeweils Anforderungen unterliegt, die denen nach § 283 vergleichbar sind,</w:t>
      </w:r>
    </w:p>
    <w:p>
      <w:pPr>
        <w:ind w:left="420"/>
      </w:pPr>
      <w:r>
        <w:t xml:space="preserve">3. welchen Anlagestrategien diese Zielfonds folgen und in welchem Umfang sie im Rahmen ihrer Anlagestrategien zur Generierung von Leverage Kredite aufnehmen, Wertpapier-Darlehen oder Derivate einsetzen und Leerverkäufe durchführen dürfen,</w:t>
      </w:r>
    </w:p>
    <w:p>
      <w:pPr>
        <w:ind w:left="420"/>
      </w:pPr>
      <w:r>
        <w:t xml:space="preserve">4. bis zu welcher Höhe Mittel in Bankguthaben, Geldmarktinstrumenten und in Anteilen oder Aktien an inländischen AIF, EU-AIF oder ausländischen AIF nach § 225 Absatz 2 Satz 1 angelegt werden dürfen und</w:t>
      </w:r>
    </w:p>
    <w:p>
      <w:pPr>
        <w:ind w:left="420"/>
      </w:pPr>
      <w:r>
        <w:t xml:space="preserve">5. ob die Vermögensgegenstände eines Zielfonds bei einer Verwahrstelle oder einem Primebroker verwahrt werden.</w:t>
      </w:r>
    </w:p>
    <w:p>
      <w:r>
        <w:t xml:space="preserve">(3) Ergänzend zu § 162 Absatz 2 Nummer 4 haben AIF-Kapitalverwaltungsgesellschaften, die Dach-Hedgefonds verwalten, alle Voraussetzungen und Bedingungen der Rückgabe und Auszahlung von Anteilen aus dem Dach-Hedgefonds Zug um Zug gegen Rückgabe der Anteile anzugeben.</w:t>
      </w:r>
    </w:p>
    <w:p>
      <w:r>
        <w:rPr>
          <w:color w:val="555555"/>
          <w:sz w:val="17"/>
        </w:rPr>
        <w:t xml:space="preserve">Zitiervorschlag: § 229 KAGB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https://recht.nulegal.eu/gesetze/KAGB/229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