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228 KAGB — Verkaufsprospekt</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Der Verkaufsprospekt muss bei Dach-Hedgefonds zusätzlich zu den Angaben nach § 165 folgende Angaben enthalten:</w:t>
      </w:r>
    </w:p>
    <w:p>
      <w:pPr>
        <w:ind w:left="420"/>
      </w:pPr>
      <w:r>
        <w:t xml:space="preserve">1. Angaben zu den Grundsätzen, nach denen die Zielfonds ausgewählt werden;</w:t>
      </w:r>
    </w:p>
    <w:p>
      <w:pPr>
        <w:ind w:left="420"/>
      </w:pPr>
      <w:r>
        <w:t xml:space="preserve">2. Angaben zu dem Umfang, in dem Anteile ausländischer nicht beaufsichtigter Zielfonds erworben werden dürfen, mit dem Hinweis, dass es sich bei diesen Zielfonds um AIF handelt, deren Anlagepolitik den Anforderungen für Hedgefonds vergleichbar ist, die aber möglicherweise keiner mit diesem Gesetz vergleichbaren staatlichen Aufsicht unterliegen;</w:t>
      </w:r>
    </w:p>
    <w:p>
      <w:pPr>
        <w:ind w:left="420"/>
      </w:pPr>
      <w:r>
        <w:t xml:space="preserve">3. Angaben zu den Anforderungen, die an die Geschäftsleitung der Zielfonds gestellt werden;</w:t>
      </w:r>
    </w:p>
    <w:p>
      <w:pPr>
        <w:ind w:left="420"/>
      </w:pPr>
      <w:r>
        <w:t xml:space="preserve">4. Angaben zu dem Umfang, in dem von den ausgewählten Zielfonds im Rahmen ihrer Anlagestrategien Kredite aufgenommen und Leerverkäufe durchgeführt werden dürfen, mit einem Hinweis zu den Risiken, die damit verbunden sein können;</w:t>
      </w:r>
    </w:p>
    <w:p>
      <w:pPr>
        <w:ind w:left="420"/>
      </w:pPr>
      <w:r>
        <w:t xml:space="preserve">5. Angaben zur Gebührenstruktur der Zielfonds mit einem Hinweis auf die Besonderheiten bei der Höhe der Gebühren sowie Angaben zu den Methoden, nach denen die Gesamtkosten berechnet werden, die der Anleger zu tragen hat;</w:t>
      </w:r>
    </w:p>
    <w:p>
      <w:pPr>
        <w:ind w:left="420"/>
      </w:pPr>
      <w:r>
        <w:t xml:space="preserve">6. Angaben zu den Einzelheiten und Bedingungen der Rücknahme und der Auszahlung von Anteilen oder Aktien, gegebenenfalls verbunden mit einem ausdrücklichen, drucktechnisch hervorgehobenen Hinweis, dass der Anleger abweichend von § 98 Absatz 1 oder § 116 Absatz 2 Satz 1 nicht mindestens zweimal im Monat von der AIF-Kapitalverwaltungsgesellschaft die Rücknahme von Anteilen oder Aktien und die Auszahlung des auf die Anteile oder Aktien entfallenden Vermögensanteils verlangen kann.</w:t>
      </w:r>
    </w:p>
    <w:p>
      <w:r>
        <w:t xml:space="preserve">(2) Zusätzlich muss der Verkaufsprospekt eines Dach-Hedgefonds an auffälliger Stelle drucktechnisch hervorgehoben folgenden Warnhinweis enthalten: „Der Bundesminister der Finanzen warnt: Dieser Investmentfonds investiert in Hedgefonds, die keinen gesetzlichen Leverage- oder Risikobeschränkungen unterliegen.“</w:t>
      </w:r>
    </w:p>
    <w:p>
      <w:r>
        <w:rPr>
          <w:color w:val="555555"/>
          <w:sz w:val="17"/>
        </w:rPr>
        <w:t xml:space="preserve">Zitiervorschlag: § 228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