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224 KAGB — Angaben im Verkaufsprospekt und in den Anlagebedingungen</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Der Verkaufsprospekt muss bei Sonstigen Investmentvermögen zusätzlich zu den Angaben nach § 165 folgende Angaben enthalten:</w:t>
      </w:r>
    </w:p>
    <w:p>
      <w:pPr>
        <w:ind w:left="420"/>
      </w:pPr>
      <w:r>
        <w:t xml:space="preserve">1. ob und in welchem Umfang in Vermögensgegenstände im Sinne des § 198, in Edelmetalle, Derivate, unverbriefte Darlehensforderungen und Kryptowerte angelegt werden darf oder Kredite vergeben werden dürfen;</w:t>
      </w:r>
    </w:p>
    <w:p>
      <w:pPr>
        <w:ind w:left="420"/>
      </w:pPr>
      <w:r>
        <w:t xml:space="preserve">2. eine Beschreibung der wesentlichen Merkmale der für das Sonstige Investmentvermögen erwerbbaren unverbrieften Darlehensforderungen oder Kryptowerte;</w:t>
      </w:r>
    </w:p>
    <w:p>
      <w:pPr>
        <w:ind w:left="420"/>
      </w:pPr>
      <w:r>
        <w:t xml:space="preserve">2a. eine Beschreibung der Grundsätze, nach denen Kredite vergeben werden;</w:t>
      </w:r>
    </w:p>
    <w:p>
      <w:pPr>
        <w:ind w:left="420"/>
      </w:pPr>
      <w:r>
        <w:t xml:space="preserve">3. Angaben zu dem Umfang, in dem Kredite aufgenommen werden dürfen, verbunden mit einer Erläuterung der Risiken, die damit verbunden sein können;</w:t>
      </w:r>
    </w:p>
    <w:p>
      <w:pPr>
        <w:ind w:left="420"/>
      </w:pPr>
      <w:r>
        <w:t xml:space="preserve">4. im Fall des § 222 Absatz 1 und 2, ob und in welchem Umfang von den dort genannten Anlagemöglichkeiten Gebrauch gemacht wird und eine Erläuterung der damit verbundenen Risiken sowie eine Beschreibung der wesentlichen Merkmale der Mikrofinanzinstitute und nach welchen Grundsätzen sie ausgewählt werden;</w:t>
      </w:r>
    </w:p>
    <w:p>
      <w:pPr>
        <w:ind w:left="420"/>
      </w:pPr>
      <w:r>
        <w:t xml:space="preserve">5. im Fall des § 223 Absatz 1 einen ausdrücklichen, drucktechnisch hervorgehobenen Hinweis, dass der Anleger abweichend von § 98 Absatz 1 oder § 116 Absatz 2 Satz 1 von der AIF-Kapitalverwaltungsgesellschaft die Rücknahme von Anteilen oder Aktien und die Auszahlung des Anteil- oder Aktienwertes nur zu bestimmten Terminen verlangen kann, wenn zum Zeitpunkt der Rückgabe der Anteile oder Aktien die Summe der Werte der zurückgegebenen Anteile oder Aktien den in den Anlagebedingungen bestimmten Betrag überschreitet;</w:t>
      </w:r>
    </w:p>
    <w:p>
      <w:pPr>
        <w:ind w:left="420"/>
      </w:pPr>
      <w:r>
        <w:t xml:space="preserve">6. im Fall des § 223 Absatz 2 einen ausdrücklichen, drucktechnisch hervorgehobenen Hinweis, dass der Anleger abweichend von § 98 Absatz 1 oder § 116 Absatz 2 Satz 1 von der AIF-Kapitalverwaltungsgesellschaft die Rücknahme von Anteilen oder Aktien und die Auszahlung des Anteil- oder Aktienwertes nur zu bestimmten Terminen verlangen kann;</w:t>
      </w:r>
    </w:p>
    <w:p>
      <w:pPr>
        <w:ind w:left="420"/>
      </w:pPr>
      <w:r>
        <w:t xml:space="preserve">7. alle Voraussetzungen und Bedingungen für die Rücknahme und Auszahlung von Anteilen oder Aktien aus dem Sonstigen Investmentvermögen Zug um Zug gegen Rückgabe der Anteile oder Aktien.</w:t>
      </w:r>
    </w:p>
    <w:p>
      <w:r>
        <w:t xml:space="preserve">(2) Die Anlagebedingungen eines Sonstigen Investmentvermögens müssen zusätzlich zu den Angaben nach § 162 folgende Angaben enthalten:</w:t>
      </w:r>
    </w:p>
    <w:p>
      <w:pPr>
        <w:ind w:left="420"/>
      </w:pPr>
      <w:r>
        <w:t xml:space="preserve">1. die Arten der Edelmetalle, Derivate, Darlehensforderungen und Kryptowerte, die für das Sonstige Investmentvermögen erworben werden dürfen;</w:t>
      </w:r>
    </w:p>
    <w:p>
      <w:pPr>
        <w:ind w:left="420"/>
      </w:pPr>
      <w:r>
        <w:t xml:space="preserve">2. in welchem Umfang die zulässigen Vermögensgegenstände erworben werden dürfen;</w:t>
      </w:r>
    </w:p>
    <w:p>
      <w:pPr>
        <w:ind w:left="420"/>
      </w:pPr>
      <w:r>
        <w:t xml:space="preserve">3. den Anteil des Sonstigen Investmentvermögens, der mindestens in Bankguthaben, Geldmarktinstrumenten oder anderen liquiden Mitteln gehalten werden muss;</w:t>
      </w:r>
    </w:p>
    <w:p>
      <w:pPr>
        <w:ind w:left="420"/>
      </w:pPr>
      <w:r>
        <w:t xml:space="preserve">3a. ob und in welchem Umfang Kredite für das Sonstige Investmentvermögen vergeben werden dürfen;</w:t>
      </w:r>
    </w:p>
    <w:p>
      <w:pPr>
        <w:ind w:left="420"/>
      </w:pPr>
      <w:r>
        <w:t xml:space="preserve">4. alle Voraussetzungen und Bedingungen für die Rücknahme und Auszahlung von Anteilen oder Aktien aus dem Sonstigen Investmentvermögen Zug um Zug gegen Rückgabe der Anteile oder Aktien.</w:t>
      </w:r>
    </w:p>
    <w:p>
      <w:r>
        <w:rPr>
          <w:color w:val="555555"/>
          <w:sz w:val="17"/>
        </w:rPr>
        <w:t xml:space="preserve">Zitiervorschlag: § 224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