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220 KAGB — Sonstige Investmentvermögen</w:t>
      </w:r>
    </w:p>
    <w:p>
      <w:r>
        <w:rPr>
          <w:color w:val="555555"/>
          <w:sz w:val="18"/>
        </w:rPr>
        <w:t xml:space="preserve">Kapitalanlagegesetzbuch</w:t>
      </w:r>
    </w:p>
    <w:p>
      <w:r>
        <w:rPr>
          <w:color w:val="555555"/>
          <w:sz w:val="18"/>
        </w:rPr>
        <w:t xml:space="preserve">Stand: 10.06.2019 (konsolidierte Textfassung, kein amtliches Inkrafttretensdatum)</w:t>
      </w:r>
    </w:p>
    <w:p>
      <w:r>
        <w:t xml:space="preserve">Auf die Verwaltung von Sonstigen Investmentvermögen nach Maßgabe der §§ 220 bis 224 sind die Vorschriften der §§ 192 bis 205 insoweit anzuwenden, als sich aus den nachfolgenden Vorschriften nichts anderes ergibt.</w:t>
      </w:r>
    </w:p>
    <w:p>
      <w:r>
        <w:rPr>
          <w:color w:val="555555"/>
          <w:sz w:val="17"/>
        </w:rPr>
        <w:t xml:space="preserve">Zitiervorschlag: § 220 KAGB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https://recht.nulegal.eu/gesetze/KAGB/220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