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216 KAGB — Bewerter</w:t>
      </w:r>
    </w:p>
    <w:p>
      <w:r>
        <w:rPr>
          <w:color w:val="555555"/>
          <w:sz w:val="18"/>
        </w:rPr>
        <w:t xml:space="preserve">Kapitalanlagegesetzbuch</w:t>
      </w:r>
    </w:p>
    <w:p>
      <w:r>
        <w:rPr>
          <w:color w:val="555555"/>
          <w:sz w:val="18"/>
        </w:rPr>
        <w:t xml:space="preserve">Stand: 10.09.2021 (konsolidierte Textfassung, kein amtliches Inkrafttretensdatum)</w:t>
      </w:r>
    </w:p>
    <w:p>
      <w:r>
        <w:t xml:space="preserve">(1) Die Bewertung der Vermögensgegenstände ist durchzuführen</w:t>
      </w:r>
    </w:p>
    <w:p>
      <w:pPr>
        <w:ind w:left="420"/>
      </w:pPr>
      <w:r>
        <w:t xml:space="preserve">1. entweder durch einen externen Bewerter, der eine natürliche oder juristische Person oder eine Personengesellschaft ist, die unabhängig vom offenen Publikums-AIF, von der AIF-Kapitalverwaltungsgesellschaft und von anderen Personen mit engen Verbindungen zum Publikums-AIF oder zur AIF-Kapitalverwaltungsgesellschaft ist, oder</w:t>
      </w:r>
    </w:p>
    <w:p>
      <w:pPr>
        <w:ind w:left="420"/>
      </w:pPr>
      <w:r>
        <w:t xml:space="preserve">2. von der AIF-Kapitalverwaltungsgesellschaft selbst, vorausgesetzt die Bewertungsaufgabe ist von der Portfolioverwaltung und der Vergütungspolitik funktional unabhängig und die Vergütungspolitik und andere Maßnahmen stellen sicher, dass Interessenkonflikte gemindert und ein unzulässiger Einfluss auf die Mitarbeiter verhindert werden.</w:t>
      </w:r>
    </w:p>
    <w:p>
      <w:r>
        <w:t xml:space="preserve">Die für einen Publikums-AIF bestellte Verwahrstelle kann nicht als externer Bewerter dieses Publikums-AIF bestellt werden, es sei denn, es liegt eine funktionale und hierarchische Trennung der Ausführung ihrer Verwahrfunktionen von ihren Aufgaben als externer Bewerter vor und die potenziellen Interessenkonflikte werden ordnungsgemäß ermittelt, gesteuert, beobachtet und den Anlegern des Publikums-AIF gegenüber offengelegt.</w:t>
      </w:r>
    </w:p>
    <w:p>
      <w:r>
        <w:t xml:space="preserve">(2) Wird ein externer Bewerter für die Bewertung herangezogen, so weist die AIF-Kapitalverwaltungsgesellschaft nach, dass</w:t>
      </w:r>
    </w:p>
    <w:p>
      <w:pPr>
        <w:ind w:left="420"/>
      </w:pPr>
      <w:r>
        <w:t xml:space="preserve">1. der externe Bewerter einer gesetzlich anerkannten obligatorischen berufsmäßigen Registrierung oder Rechts- und Verwaltungsvorschriften oder berufsständischen Regeln unterliegt,</w:t>
      </w:r>
    </w:p>
    <w:p>
      <w:pPr>
        <w:ind w:left="420"/>
      </w:pPr>
      <w:r>
        <w:t xml:space="preserve">2. der externe Bewerter ausreichende berufliche Garantien vorweisen kann, um die Bewertungsfunktion wirksam ausüben zu können, und</w:t>
      </w:r>
    </w:p>
    <w:p>
      <w:pPr>
        <w:ind w:left="420"/>
      </w:pPr>
      <w:r>
        <w:t xml:space="preserve">3. die Bestellung des externen Bewerters den Anforderungen des § 36 Absatz 1, 2 und 10 entspricht.</w:t>
      </w:r>
    </w:p>
    <w:p>
      <w:r>
        <w:t xml:space="preserve">(3) Die Kriterien und der Inhalt der erforderlichen beruflichen Garantien des externen Bewerters nach Absatz 2 Nummer 2 bestimmen sich nach Artikel 73 der Delegierten Verordnung (EU) Nr. 231/2013.</w:t>
      </w:r>
    </w:p>
    <w:p>
      <w:r>
        <w:t xml:space="preserve">(4) Ein bestellter externer Bewerter darf die Bewertungsfunktion nicht an einen Dritten delegieren.</w:t>
      </w:r>
    </w:p>
    <w:p>
      <w:r>
        <w:t xml:space="preserve">(5) Die AIF-Kapitalverwaltungsgesellschaft teilt die Bestellung eines externen Bewerters der Bundesanstalt mit. Liegen die Voraussetzungen von Absatz 2 nicht vor, kann die Bundesanstalt die Bestellung eines anderen externen Bewerters verlangen.</w:t>
      </w:r>
    </w:p>
    <w:p>
      <w:r>
        <w:t xml:space="preserve">(6) Wird die Bewertung nicht von einem externen Bewerter vorgenommen, kann die Bundesanstalt verlangen, dass die Bewertungsverfahren sowie Bewertungen der AIF-Kapitalverwaltungsgesellschaft durch den Abschlussprüfer im Rahmen der Jahresabschlussprüfung des Publikums-AIF zu überprüfen sind.</w:t>
      </w:r>
    </w:p>
    <w:p>
      <w:r>
        <w:t xml:space="preserve">(7) Die AIF-Kapitalverwaltungsgesellschaft bleibt auch dann für die ordnungsgemäße Bewertung der Vermögensgegenstände des Publikums-AIF sowie für die Berechnung und Bekanntgabe des Nettoinventarwertes verantwortlich, wenn sie einen externen Bewerter bestellt hat. Ungeachtet des Satzes 1 und unabhängig von anders lautenden vertraglichen Regelungen haftet der externe Bewerter gegenüber der AIF-Kapitalverwaltungsgesellschaft für jegliche Verluste der AIF-Kapitalverwaltungsgesellschaft, die sich auf fahrlässige oder vorsätzliche Nichterfüllung der Aufgaben durch den externen Bewerter zurückführen lassen.</w:t>
      </w:r>
    </w:p>
    <w:p>
      <w:r>
        <w:rPr>
          <w:color w:val="555555"/>
          <w:sz w:val="17"/>
        </w:rPr>
        <w:t xml:space="preserve">Zitiervorschlag: § 216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https://recht.nulegal.eu/gesetze/KAGB/216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