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 KAGB — Überschreiten von Anlagegrenzen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in den §§ 198, 206 und 210 bestimmten Grenzen dürfen überschritten werden, wenn es sich um den Erwerb von Aktien, die dem inländischen OGAW bei einer Kapitalerhöhung aus Gesellschaftsmitteln zustehen, oder um den Erwerb von neuen Aktien in Ausübung von Bezugsrechten aus Wertpapieren handelt, die zum inländischen OGAW gehören.</w:t>
      </w:r>
    </w:p>
    <w:p>
      <w:r>
        <w:t xml:space="preserve">(2) Werden die in den §§ 206 bis 210 bestimmten Grenzen in den Fällen des Absatzes 1 oder unbeabsichtigt von der OGAW-Kapitalverwaltungsgesellschaft überschritten, so hat die OGAW-Kapitalverwaltungsgesellschaft bei ihren Verkäufen für Rechnung des inländischen OGAW als vorrangiges Ziel anzustreben, diese Grenzen wieder einzuhalten, soweit dies den Interessen der Anleger nicht zuwiderläuft.</w:t>
      </w:r>
    </w:p>
    <w:p>
      <w:r>
        <w:t xml:space="preserve">(3) Die in den §§ 206 bis 209 bestimmten Grenzen dürfen in den ersten sechs Monaten seit Errichtung eines inländischen OGAW sowie nach vollzogener Verschmelzung durch den übernehmenden inländischen OGAW jeweils unter Beachtung des Grundsatzes der Risikostreuung überschritten werden.</w:t>
      </w:r>
    </w:p>
    <w:p>
      <w:r>
        <w:t xml:space="preserve">(4) Aktiviert eine OGAW-Kapitalverwaltungsgesellschaft die Abspaltung illiquider Anlagen mittels Trennung der Vermögenswerte, so können die getrennten Vermögenswerte von der Berechnung der in diesem Abschnitt festgelegten Obergrenzen ausgenommen werden.</w:t>
      </w:r>
    </w:p>
    <w:p>
      <w:r>
        <w:rPr>
          <w:color w:val="555555"/>
          <w:sz w:val="17"/>
        </w:rPr>
        <w:t xml:space="preserve">Zitiervorschlag: § 211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