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208 KAGB — Erweiterte Anlagegrenzen</w:t>
      </w:r>
    </w:p>
    <w:p>
      <w:r>
        <w:rPr>
          <w:color w:val="555555"/>
          <w:sz w:val="18"/>
        </w:rPr>
        <w:t xml:space="preserve">Kapitalanlagegesetzbuch</w:t>
      </w:r>
    </w:p>
    <w:p>
      <w:r>
        <w:rPr>
          <w:color w:val="555555"/>
          <w:sz w:val="18"/>
        </w:rPr>
        <w:t xml:space="preserve">Stand: 10.06.2019 (konsolidierte Textfassung, kein amtliches Inkrafttretensdatum)</w:t>
      </w:r>
    </w:p>
    <w:p>
      <w:r>
        <w:t xml:space="preserve">Die OGAW-Kapitalverwaltungsgesellschaft darf abweichend von § 206 Absatz 1 in Wertpapiere und Geldmarktinstrumente desselben Emittenten nach Maßgabe des § 206 Absatz 2 mehr als 35 Prozent des Wertes des inländischen OGAW anlegen, wenn</w:t>
      </w:r>
    </w:p>
    <w:p>
      <w:pPr>
        <w:ind w:left="420"/>
      </w:pPr>
      <w:r>
        <w:t xml:space="preserve">1. dies in den Anlagebedingungen des inländischen OGAW unter Angabe der betreffenden Emittenten vorgesehen ist und</w:t>
      </w:r>
    </w:p>
    <w:p>
      <w:pPr>
        <w:ind w:left="420"/>
      </w:pPr>
      <w:r>
        <w:t xml:space="preserve">2. die für Rechnung des inländischen OGAW gehaltenen Wertpapiere und Geldmarktinstrumente aus mindestens sechs verschiedenen Emissionen stammen, wobei nicht mehr als 30 Prozent des Wertes des inländischen OGAW in einer Emission gehalten werden dürfen.</w:t>
      </w:r>
    </w:p>
    <w:p>
      <w:r>
        <w:rPr>
          <w:color w:val="555555"/>
          <w:sz w:val="17"/>
        </w:rPr>
        <w:t xml:space="preserve">Zitiervorschlag: § 208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https://recht.nulegal.eu/gesetze/KAGB/208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