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207 KAGB — Erwerb von Anteilen an Investmentvermögen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OGAW-Kapitalverwaltungsgesellschaft darf in Anteile an einem einzigen Investmentvermögen nach Maßgabe des § 196 Absatz 1 nur bis zu 20 Prozent des Wertes des inländischen OGAW anlegen.</w:t>
      </w:r>
    </w:p>
    <w:p>
      <w:r>
        <w:t xml:space="preserve">(2) Die OGAW-Kapitalverwaltungsgesellschaft darf in Anteile an Investmentvermögen nach Maßgabe des § 196 Absatz 1 Satz 2 insgesamt nur bis zu 30 Prozent des Wertes des inländischen OGAW anlegen.</w:t>
      </w:r>
    </w:p>
    <w:p>
      <w:r>
        <w:rPr>
          <w:color w:val="555555"/>
          <w:sz w:val="17"/>
        </w:rPr>
        <w:t xml:space="preserve">Zitiervorschlag: § 207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https://recht.nulegal.eu/gesetze/KAGB/207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