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205 KAGB — Leerverkäufe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Die Kapitalverwaltungsgesellschaft darf für gemeinschaftliche Rechnung der Anleger keine Vermögensgegenstände nach Maßgabe der §§ 193, 194, 196 und 198 Nummer 1 bis 3 verkaufen, wenn die jeweiligen Vermögensgegenstände im Zeitpunkt des Geschäftsabschlusses nicht zum inländischen OGAW gehören; § 197 bleibt unberührt. Die Wirksamkeit des Rechtsgeschäfts wird durch einen Verstoß gegen Satz 1 nicht berührt.</w:t>
      </w:r>
    </w:p>
    <w:p>
      <w:r>
        <w:rPr>
          <w:color w:val="555555"/>
          <w:sz w:val="17"/>
        </w:rPr>
        <w:t xml:space="preserve">Zitiervorschlag: § 205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