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204 KAGB — Verweisung; Verordnungsermächtigung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Für die weiteren in den §§ 192 bis 211 genannten Vermögensgegenstände gelten die §§ 200 bis 203 sinngemäß.</w:t>
      </w:r>
    </w:p>
    <w:p>
      <w:r>
        <w:t xml:space="preserve">(2) Die in den §§ 200 und 203 genannten Geschäfte müssen die in Artikel 11 Absatz 1 der Richtlinie 2007/16/EG genannten Kriterien erfüllen.</w:t>
      </w:r>
    </w:p>
    <w:p>
      <w:r>
        <w:t xml:space="preserve">(3) Das Bundesministerium der Finanzen wird ermächtigt, durch Rechtsverordnung, die nicht der Zustimmung des Bundesrates bedarf, weitere Kriterien für die in den §§ 200 und 203 genannten Geschäfte vorzuschreiben, insbesondere Bestimmungen über die Berechnung und Begrenzung des Marktrisikopotenzials und des Kontrahentenrisikos sowie über die Beschaffenheit und die Anlage der Sicherheiten oder der Gegenstände der Pensionsgeschäfte und deren Anrechnung auf die Anlagegrenzen. Das Bundesministerium der Finanzen kann die Ermächtigung durch Rechtsverordnung auf die Bundesanstalt übertragen.</w:t>
      </w:r>
    </w:p>
    <w:p>
      <w:r>
        <w:rPr>
          <w:color w:val="555555"/>
          <w:sz w:val="17"/>
        </w:rPr>
        <w:t xml:space="preserve">Zitiervorschlag: § 204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