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203 KAGB — Pensionsgeschäfte</w:t>
      </w:r>
    </w:p>
    <w:p>
      <w:r>
        <w:rPr>
          <w:color w:val="555555"/>
          <w:sz w:val="18"/>
        </w:rPr>
        <w:t xml:space="preserve">Kapitalanlagegesetzbuch</w:t>
      </w:r>
    </w:p>
    <w:p>
      <w:r>
        <w:rPr>
          <w:color w:val="555555"/>
          <w:sz w:val="18"/>
        </w:rPr>
        <w:t xml:space="preserve">Stand: 10.06.2019 (konsolidierte Textfassung, kein amtliches Inkrafttretensdatum)</w:t>
      </w:r>
    </w:p>
    <w:p>
      <w:r>
        <w:t xml:space="preserve">Die OGAW-Kapitalverwaltungsgesellschaft darf für Rechnung eines inländischen OGAW Pensionsgeschäfte im Sinne des § 340b Absatz 2 des Handelsgesetzbuchs mit Kreditinstituten oder Finanzdienstleistungsinstituten auf der Grundlage standardisierter Rahmenverträge nur abschließen, wenn dies in den Anlagebedingungen vorgesehen ist. Die Pensionsgeschäfte müssen Wertpapiere zum Gegenstand haben, die nach den Anlagebedingungen für den inländischen OGAW erworben werden dürfen. Die Pensionsgeschäfte dürfen höchstens eine Laufzeit von zwölf Monaten haben. Die OGAW-Kapitalverwaltungsgesellschaft muss jedoch jederzeit zur Kündigung des Pensionsgeschäftes berechtigt sein. Die in Pension genommenen Wertpapiere sind auf die Anlagegrenzen des § 206 Absatz 1, 2 und 3 anzurechnen.</w:t>
      </w:r>
    </w:p>
    <w:p>
      <w:r>
        <w:rPr>
          <w:color w:val="555555"/>
          <w:sz w:val="17"/>
        </w:rPr>
        <w:t xml:space="preserve">Zitiervorschlag: § 203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