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KAGB — Erlaubnis zum Geschäftsbetrieb</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Geschäftsbetrieb einer Kapitalverwaltungsgesellschaft bedarf der Erlaubnis der Bundesanstalt. Die Bundesanstalt kann die Erlaubnis auf die Verwaltung bestimmter Arten von Investmentvermögen beschränken. Die Bundesanstalt kann die Erlaubnis mit Nebenbestimmungen verbinden. Eine Erlaubnis nach Satz 1 ist auch dann erforderlich, wenn im Zuge einer Umwandlung nach § 305, § 320 oder § 333 des Umwandlungsgesetzes eine juristische Person, die nach Satz 1 erlaubnispflichtige Geschäfte betreibt, ihren satzungsmäßigen Sitz vom Ausland ins Inland verlegt.</w:t>
      </w:r>
    </w:p>
    <w:p>
      <w:r>
        <w:t xml:space="preserve">(2) Externe OGAW-Kapitalverwaltungsgesellschaften dürfen neben der kollektiven Vermögensverwaltung von OGAW folgende Dienstleistungen und Nebendienstleistungen erbringen:</w:t>
      </w:r>
    </w:p>
    <w:p>
      <w:pPr>
        <w:ind w:left="420"/>
      </w:pPr>
      <w:r>
        <w:t xml:space="preserve">1. die Verwaltung einzelner in Finanzinstrumenten im Sinne des § 1 Absatz 11 des Kreditwesengesetzes angelegter Vermögen für andere mit Entscheidungsspielraum einschließlich der Portfolioverwaltung fremder Investmentvermögen (Finanzportfolioverwaltung),</w:t>
      </w:r>
    </w:p>
    <w:p>
      <w:pPr>
        <w:ind w:left="420"/>
      </w:pPr>
      <w:r>
        <w:t xml:space="preserve">2. die Anlageberatung im Sinne des § 2 Absatz 8 Satz 1 Nummer 10 des Wertpapierhandelsgesetzes,</w:t>
      </w:r>
    </w:p>
    <w:p>
      <w:pPr>
        <w:ind w:left="420"/>
      </w:pPr>
      <w:r>
        <w:t xml:space="preserve">3. die Verwahrung und Verwaltung von Anteilen an inländischen Investmentvermögen, EU-Investmentvermögen oder ausländischen AIF für andere,</w:t>
      </w:r>
    </w:p>
    <w:p>
      <w:pPr>
        <w:ind w:left="420"/>
      </w:pPr>
      <w:r>
        <w:t xml:space="preserve">4. den Vertrieb und das Pre-Marketing von Anteilen oder Aktien an fremden Investmentvermögen,</w:t>
      </w:r>
    </w:p>
    <w:p>
      <w:pPr>
        <w:ind w:left="420"/>
      </w:pPr>
      <w:r>
        <w:t xml:space="preserve">5. soweit der externen OGAW-Kapitalverwaltungsgesellschaft zusätzlich eine Erlaubnis als externe AIF-Kapitalverwaltungsgesellschaft erteilt wurde, die Verwaltung von AIF sowie Dienstleistungen und Nebendienstleistungen nach Absatz 3,</w:t>
      </w:r>
    </w:p>
    <w:p>
      <w:pPr>
        <w:ind w:left="420"/>
      </w:pPr>
      <w:r>
        <w:t xml:space="preserve">6. den Abschluss von Altersvorsorgeverträgen gemäß § 1 Absatz 1 des Altersvorsorgeverträge-Zertifizierungsgesetzes sowie von Verträgen zum Aufbau einer eigenen kapitalgedeckten Altersversorgung im Sinne des § 10 Absatz 1 Nummer 2 Buchstabe b des Einkommensteuergesetzes,</w:t>
      </w:r>
    </w:p>
    <w:p>
      <w:pPr>
        <w:ind w:left="420"/>
      </w:pPr>
      <w:r>
        <w:t xml:space="preserve">7. die Abgabe einer Zusage gegenüber dem Anleger, dass bei Rücknahme von Anteilen, bei Beendigung der Verwaltung von Vermögen im Sinne der Nummer 1 und der Beendigung der Verwahrung und Verwaltung von Anteilen im Sinne der Nummer 3 mindestens ein bestimmter oder bestimmbarer Betrag an den Anleger gezahlt wird (Mindestzahlungszusage),</w:t>
      </w:r>
    </w:p>
    <w:p>
      <w:pPr>
        <w:ind w:left="420"/>
      </w:pPr>
      <w:r>
        <w:t xml:space="preserve">8. die Vermittlung von Geschäften über die Anschaffung und Veräußerung von Finanzinstrumenten (Anlagevermittlung),</w:t>
      </w:r>
    </w:p>
    <w:p>
      <w:pPr>
        <w:ind w:left="420"/>
      </w:pPr>
      <w:r>
        <w:t xml:space="preserve">9. die Verwaltung von Referenzwerten nach der Verordnung (EU) 2016/1011,</w:t>
      </w:r>
    </w:p>
    <w:p>
      <w:pPr>
        <w:ind w:left="420"/>
      </w:pPr>
      <w:r>
        <w:t xml:space="preserve">10. jede andere Funktion oder Tätigkeit, die die externe OGAW-Kapitalverwaltungsgesellschaft in Bezug auf einen OGAW, den sie nach den Vorschriften dieses Gesetzes verwaltet, oder in Bezug auf Dienstleistungen, die sie nach diesem Satz erbringt, bereits wahrnimmt, sofern ein potenzieller Interessenkonflikt, der durch die Erbringung dieser Funktion oder Tätigkeit für andere Parteien entsteht, angemessen beigelegt wird.</w:t>
      </w:r>
    </w:p>
    <w:p>
      <w:r>
        <w:t xml:space="preserve">Soweit die Erlaubnis die Finanzportfolioverwaltung oder die Anlageberatung umfasst, ist eine externe OGAW-Kapitalverwaltungsgesellschaft nicht befugt, sich Eigentum oder Besitz an Geldern oder Wertpapieren von Kunden zu verschaffen.</w:t>
      </w:r>
    </w:p>
    <w:p>
      <w:r>
        <w:t xml:space="preserve">(3) Externe AIF-Kapitalverwaltungsgesellschaften dürfen neben der kollektiven Vermögensverwaltung von AIF folgende Dienstleistungen und Nebendienstleistungen erbringen:</w:t>
      </w:r>
    </w:p>
    <w:p>
      <w:pPr>
        <w:ind w:left="420"/>
      </w:pPr>
      <w:r>
        <w:t xml:space="preserve">1. die Verwaltung einzelner nicht in Finanzinstrumenten im Sinne des § 1 Absatz 11 des Kreditwesengesetzes angelegter Vermögen für andere mit Entscheidungsspielraum sowie die Anlageberatung (individuelle Vermögensverwaltung und Anlageberatung),</w:t>
      </w:r>
    </w:p>
    <w:p>
      <w:pPr>
        <w:ind w:left="420"/>
      </w:pPr>
      <w:r>
        <w:t xml:space="preserve">2. die Verwaltung einzelner in Finanzinstrumenten im Sinne des § 1 Absatz 11 des Kreditwesengesetzes angelegter Vermögen für andere mit Entscheidungsspielraum einschließlich der Portfolioverwaltung fremder Investmentvermögen (Finanzportfolioverwaltung),</w:t>
      </w:r>
    </w:p>
    <w:p>
      <w:pPr>
        <w:ind w:left="420"/>
      </w:pPr>
      <w:r>
        <w:t xml:space="preserve">3. die Anlageberatung im Sinne des § 2 Absatz 8 Satz 1 Nummer 10 des Wertpapierhandelsgesetzes,</w:t>
      </w:r>
    </w:p>
    <w:p>
      <w:pPr>
        <w:ind w:left="420"/>
      </w:pPr>
      <w:r>
        <w:t xml:space="preserve">4. die Verwahrung und Verwaltung von Anteilen an inländischen Investmentvermögen, EU-Investmentvermögen oder ausländischen AIF für andere,</w:t>
      </w:r>
    </w:p>
    <w:p>
      <w:pPr>
        <w:ind w:left="420"/>
      </w:pPr>
      <w:r>
        <w:t xml:space="preserve">5. die Vermittlung von Geschäften über die Anschaffung und Veräußerung von Finanzinstrumenten (Anlagevermittlung),</w:t>
      </w:r>
    </w:p>
    <w:p>
      <w:pPr>
        <w:ind w:left="420"/>
      </w:pPr>
      <w:r>
        <w:t xml:space="preserve">6. den Vertrieb und das Pre-Marketing von Anteilen oder Aktien an fremden Investmentvermögen,</w:t>
      </w:r>
    </w:p>
    <w:p>
      <w:pPr>
        <w:ind w:left="420"/>
      </w:pPr>
      <w:r>
        <w:t xml:space="preserve">7. soweit der externen AIF-Kapitalverwaltungsgesellschaft zusätzlich eine Erlaubnis als externe OGAW-Kapitalverwaltungsgesellschaft erteilt wurde, die Verwaltung von OGAW sowie Dienstleistungen und Nebendienstleistungen nach Absatz 2,</w:t>
      </w:r>
    </w:p>
    <w:p>
      <w:pPr>
        <w:ind w:left="420"/>
      </w:pPr>
      <w:r>
        <w:t xml:space="preserve">8. den Abschluss von Altersvorsorgeverträgen gemäß § 1 Absatz 1 des Altersvorsorgeverträge-Zertifizierungsgesetzes sowie von Verträgen zum Aufbau einer eigenen kapitalgedeckten Altersversorgung im Sinne des § 10 Absatz 1 Nummer 2 Buchstabe b des Einkommensteuergesetzes,</w:t>
      </w:r>
    </w:p>
    <w:p>
      <w:pPr>
        <w:ind w:left="420"/>
      </w:pPr>
      <w:r>
        <w:t xml:space="preserve">9. die Verwaltung von Referenzwerten nach der Verordnung (EU) 2016/1011,</w:t>
      </w:r>
    </w:p>
    <w:p>
      <w:pPr>
        <w:ind w:left="420"/>
      </w:pPr>
      <w:r>
        <w:t xml:space="preserve">10. Kreditdienstleistungen nach § 2 Absatz 3 des Kreditzweitmarktgesetzes,</w:t>
      </w:r>
    </w:p>
    <w:p>
      <w:pPr>
        <w:ind w:left="420"/>
      </w:pPr>
      <w:r>
        <w:t xml:space="preserve">11. jede andere Funktion oder Tätigkeit, die die externe AIF-Kapitalverwaltungsgesellschaft in Bezug auf einen AIF, den sie nach den Vorschriften dieses Gesetzes verwaltet, oder in Bezug auf Dienstleistungen, die sie nach diesem Satz erbringt, bereits wahrnimmt, sofern ein potenzieller Interessenkonflikt, der durch die Erbringung dieser Funktion oder Tätigkeit für andere Parteien entsteht, angemessen beigelegt wird.</w:t>
      </w:r>
    </w:p>
    <w:p>
      <w:r>
        <w:t xml:space="preserve">Soweit die Erlaubnis die Finanzportfolioverwaltung, die Anlageberatung oder die Anlagevermittlung umfasst, ist eine externe AIF-Kapitalverwaltungsgesellschaft nicht befugt, sich Eigentum oder Besitz an Geldern oder Wertpapieren von Kunden zu verschaffen.</w:t>
      </w:r>
    </w:p>
    <w:p>
      <w:r>
        <w:t xml:space="preserve">(3a) Externe Kapitalverwaltungsgesellschaften dürfen neben der kollektiven Vermögensverwaltung von Investmentvermögen außerdem Kryptowerte-Dienstleistungen nach Artikel 60 Absatz 5 der Verordnung (EU) 2023/1114 erbringen.</w:t>
      </w:r>
    </w:p>
    <w:p>
      <w:r>
        <w:t xml:space="preserve">(4) Externe OGAW-Kapitalverwaltungsgesellschaften und externe AIF-Kapitalverwaltungsgesellschaften dürfen nicht ausschließlich die in Absatz 2 Satz 1 Nummer 1 bis 4 und in Absatz 3 Satz 1 Nummer 1 bis 6 genannten Dienstleistungen und Nebendienstleistungen erbringen, ohne auch die kollektive Vermögensverwaltung zu erbringen. Externe OGAW-Kapitalverwaltungsgesellschaften und externe AIF-Kapitalverwaltungsgesellschaften dürfen keine Referenzwerte nach der Verordnung (EU) 2016/1011 verwalten, die in den von ihnen verwalteten Investmentvermögen genutzt werden.</w:t>
      </w:r>
    </w:p>
    <w:p>
      <w:r>
        <w:t xml:space="preserve">(5) In der Satzung oder dem Gesellschaftsvertrag der externen OGAW-Kapitalverwaltungsgesellschaft muss bestimmt sein, dass außer den Geschäften, die zur Anlage ihres eigenen Vermögens erforderlich sind, nur die in Absatz 2 genannten Geschäfte und Tätigkeiten betrieben werden. In der Satzung oder dem Gesellschaftsvertrag der externen AIF-Kapitalverwaltungsgesellschaft muss bestimmt sein, dass außer den Geschäften, die zur Anlage ihres eigenen Vermögens erforderlich sind, nur die in Absatz 3 genannten Geschäfte und Tätigkeiten betrieben werden.</w:t>
      </w:r>
    </w:p>
    <w:p>
      <w:r>
        <w:t xml:space="preserve">(6) Externe Kapitalverwaltungsgesellschaften dürfen sich an Unternehmen beteiligen, wenn der Geschäftszweck des Unternehmens gesetzlich oder satzungsmäßig im Wesentlichen auf die Geschäfte ausgerichtet ist, welche die externe Kapitalverwaltungsgesellschaft selbst betreiben darf und eine Haftung der externen Kapitalverwaltungsgesellschaft aus der Beteiligung durch die Rechtsform des Unternehmens beschränkt ist.</w:t>
      </w:r>
    </w:p>
    <w:p>
      <w:r>
        <w:t xml:space="preserve">(7) Intern verwaltete OGAW-Kapitalverwaltungsgesellschaften dürfen keine andere Tätigkeit ausüben als die Verwaltung des eigenen OGAW; intern verwaltete AIF-Kapitalverwaltungsgesellschaften dürfen keine andere Tätigkeit ausüben als die Verwaltung des eigenen AIF.</w:t>
      </w:r>
    </w:p>
    <w:p>
      <w:r>
        <w:t xml:space="preserve">(8) OGAW-Kapitalverwaltungsgesellschaften dürfen für Rechnung des OGAW weder Kredite vergeben noch Verpflichtungen aus einem Bürgschafts- oder einem Garantievertrag eingehen.</w:t>
      </w:r>
    </w:p>
    <w:p>
      <w:r>
        <w:t xml:space="preserve">(9) AIF-Kapitalverwaltungsgesellschaften dürfen im Rahmen der kollektiven Vermögensverwaltung Kredite vergeben, wenn die Kreditvergabe</w:t>
      </w:r>
    </w:p>
    <w:p>
      <w:pPr>
        <w:ind w:left="420"/>
      </w:pPr>
      <w:r>
        <w:t xml:space="preserve">1. durch einen Spezial-AIF erfolgt,</w:t>
      </w:r>
    </w:p>
    <w:p>
      <w:pPr>
        <w:ind w:left="420"/>
      </w:pPr>
      <w:r>
        <w:t xml:space="preserve">2. nach § 221 Absatz 1 Nummer 4 und Absatz 5 Satz 1, § 222 Absatz 1 Satz 5 und Absatz 4, § 240 oder § 261 Absatz 1 Nummer 8 und 10 erfolgt oder</w:t>
      </w:r>
    </w:p>
    <w:p>
      <w:pPr>
        <w:ind w:left="420"/>
      </w:pPr>
      <w:r>
        <w:t xml:space="preserve">3. aufgrund der Verordnung (EU) Nr. 345/2013, der Verordnung (EU) Nr. 346/2013, der Verordnung (EU) 2015/760 oder des § 3 Absatz 2 in Verbindung mit § 4 Absatz 7 des Gesetzes über Unternehmensbeteiligungsgesellschaften erlaubt ist.</w:t>
      </w:r>
    </w:p>
    <w:p>
      <w:r>
        <w:t xml:space="preserve">Die Vergabe eines Kredits liegt nicht vor bei einer der Kreditvergabe nachfolgenden Änderung der Kreditbedingungen; Absatz 3 Satz 1 Nummer 10 bleibt unberührt.</w:t>
      </w:r>
    </w:p>
    <w:p>
      <w:r>
        <w:t xml:space="preserve">(9a) AIF-Kapitalverwaltungsgesellschaften dürfen im Rahmen der kollektiven Vermögensverwaltung für Entwicklungsförderungsfonds nach § 292a Absatz 2 Bürgschaften, Garantien und sonstige Gewährleistungen für andere übernehmen.</w:t>
      </w:r>
    </w:p>
    <w:p>
      <w:r>
        <w:t xml:space="preserve">(10) Externe Kapitalverwaltungsgesellschaften dürfen an ihre Mutter-, Tochter- und Schwesterunternehmen Kredite für eigene Rechnung vergeben.</w:t>
      </w:r>
    </w:p>
    <w:p>
      <w:r>
        <w:rPr>
          <w:color w:val="555555"/>
          <w:sz w:val="17"/>
        </w:rPr>
        <w:t xml:space="preserve">Zitiervorschlag: § 20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