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199 KAGB — Kreditaufnahme</w:t>
      </w:r>
    </w:p>
    <w:p>
      <w:r>
        <w:rPr>
          <w:color w:val="555555"/>
          <w:sz w:val="18"/>
        </w:rPr>
        <w:t xml:space="preserve">Kapitalanlagegesetzbuch</w:t>
      </w:r>
    </w:p>
    <w:p>
      <w:r>
        <w:rPr>
          <w:color w:val="555555"/>
          <w:sz w:val="18"/>
        </w:rPr>
        <w:t xml:space="preserve">Stand: 10.06.2019 (konsolidierte Textfassung, kein amtliches Inkrafttretensdatum)</w:t>
      </w:r>
    </w:p>
    <w:p>
      <w:r>
        <w:t xml:space="preserve">Die OGAW-Kapitalverwaltungsgesellschaft darf für gemeinschaftliche Rechnung der Anleger kurzfristige Kredite nur bis zur Höhe von 10 Prozent des Wertes des inländischen OGAW und nur aufnehmen, wenn die Bedingungen der Kreditaufnahme marktüblich sind und dies in den Anlagebedingungen vorgesehen ist.</w:t>
      </w:r>
    </w:p>
    <w:p>
      <w:r>
        <w:rPr>
          <w:color w:val="555555"/>
          <w:sz w:val="17"/>
        </w:rPr>
        <w:t xml:space="preserve">Zitiervorschlag: § 199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