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 KAGB — Sonstige Anlageinstrumente</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OGAW-Kapitalverwaltungsgesellschaft darf nur bis zu 10 Prozent des Wertes des inländischen OGAW insgesamt anlegen in</w:t>
      </w:r>
    </w:p>
    <w:p>
      <w:pPr>
        <w:ind w:left="420"/>
      </w:pPr>
      <w:r>
        <w:t xml:space="preserve">1. Wertpapiere, die nicht zum Handel an einer Börse zugelassen oder an einem anderen organisierten Markt zugelassen oder in diesen einbezogen sind, im Übrigen jedoch die Kriterien des Artikels 2 Absatz 1 Buchstabe a bis c Ziffer ii, Buchstabe d Ziffer ii und Buchstabe e bis g der Richtlinie 2007/16/EG erfüllen,</w:t>
      </w:r>
    </w:p>
    <w:p>
      <w:pPr>
        <w:ind w:left="420"/>
      </w:pPr>
      <w:r>
        <w:t xml:space="preserve">2. Geldmarktinstrumente von Emittenten, die nicht den Anforderungen des § 194 genügen, sofern die Geldmarktinstrumente die Voraussetzungen des Artikels 4 Absatz 1 und 2 der Richtlinie 2007/16/EG erfüllen,</w:t>
      </w:r>
    </w:p>
    <w:p>
      <w:pPr>
        <w:ind w:left="420"/>
      </w:pPr>
      <w:r>
        <w:t xml:space="preserve">3. Aktien, welche die Anforderungen des § 193 Absatz 1 Nummer 3 und 4 erfüllen,</w:t>
      </w:r>
    </w:p>
    <w:p>
      <w:pPr>
        <w:ind w:left="420"/>
      </w:pPr>
      <w:r>
        <w:t xml:space="preserve">4. Forderungen aus Gelddarlehen, die nicht unter § 194 fallen, Teilbeträge eines von einem Dritten gewährten Gesamtdarlehens sind und über die ein Schuldschein ausgestellt ist (Schuldscheindarlehen), sofern diese Forderungen nach dem Erwerb für den inländischen OGAW mindestens zweimal abgetreten werden können und das Darlehen gewährt wurde</w:t>
      </w:r>
    </w:p>
    <w:p>
      <w:pPr>
        <w:ind w:left="780"/>
      </w:pPr>
      <w:r>
        <w:t xml:space="preserve">a) dem Bund, einem Sondervermögen des Bundes, einem Land, der Europäischen Union oder einem Staat, der Mitglied der Organisation für wirtschaftliche Zusammenarbeit und Entwicklung ist,</w:t>
      </w:r>
    </w:p>
    <w:p>
      <w:pPr>
        <w:ind w:left="780"/>
      </w:pPr>
      <w:r>
        <w:t xml:space="preserve">b) einer anderen inländischen Gebietskörperschaft oder einer Regionalregierung oder örtlichen Gebietskörperschaft eines anderen Mitgliedstaates der Europäischen Union oder eines anderen Vertragsstaates des Abkommens über den Europäischen Wirtschaftsraum, sofern die Forderung an die Regionalregierung oder an die Gebietskörperschaft gemäß Artikel 115 Absatz 2 der Verordnung (EU) Nr. 575/2013 in derselben Weise behandelt werden kann wie eine Forderung an den Zentralstaat, auf dessen Hoheitsgebiet die Regionalregierung oder die Gebietskörperschaft ansässig ist,</w:t>
      </w:r>
    </w:p>
    <w:p>
      <w:pPr>
        <w:ind w:left="780"/>
      </w:pPr>
      <w:r>
        <w:t xml:space="preserve">c) sonstigen Körperschaften oder Anstalten des öffentlichen Rechts mit Sitz im Inland oder in einem anderen Mitgliedstaat der Europäischen Union oder einem anderen Vertragsstaat des Abkommens über den Europäischen Wirtschaftsraum,</w:t>
      </w:r>
    </w:p>
    <w:p>
      <w:pPr>
        <w:ind w:left="780"/>
      </w:pPr>
      <w:r>
        <w:t xml:space="preserve">d) Unternehmen, die Wertpapiere ausgegeben haben, die an einem organisierten Markt im Sinne von § 2 Absatz 11 des Wertpapierhandelsgesetzes zum Handel zugelassen sind oder die an einem anderen organisierten Markt, der die wesentlichen Anforderungen an geregelte Märkte im Sinne der Richtlinie 2014/65/EU in der jeweils geltenden Fassung erfüllt, zum Handel zugelassen sind, oder</w:t>
      </w:r>
    </w:p>
    <w:p>
      <w:pPr>
        <w:ind w:left="780"/>
      </w:pPr>
      <w:r>
        <w:t xml:space="preserve">e) gegen Übernahme der Gewährleistung für die Verzinsung und Rückzahlung durch eine der in den Buchstaben a bis c bezeichneten Stellen.</w:t>
      </w:r>
    </w:p>
    <w:p>
      <w:r>
        <w:rPr>
          <w:color w:val="555555"/>
          <w:sz w:val="17"/>
        </w:rPr>
        <w:t xml:space="preserve">Zitiervorschlag: § 198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