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197 KAGB — Gesamtgrenze; Derivate; Verordnungsermächtigung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inländische OGAW darf nur in Derivate, die von Wertpapieren, Geldmarktinstrumenten, Investmentanteilen gemäß § 196, Finanzindizes im Sinne des Artikels 9 Absatz 1 der Richtlinie 2007/16/EG, Zinssätzen, Wechselkursen oder Währungen, in die der inländische OGAW nach seinen Anlagebedingungen investieren darf, abgeleitet sind, zu Investmentzwecken investieren. Satz 1 gilt entsprechend für Finanzinstrumente mit derivativer Komponente im Sinne des Artikels 10 Absatz 1 der Richtlinie 2007/16/EG.</w:t>
      </w:r>
    </w:p>
    <w:p>
      <w:r>
        <w:t xml:space="preserve">(2) Die OGAW-Verwaltungsgesellschaft muss sicherstellen, dass sich das Marktrisikopotenzial eines inländischen OGAW durch den Einsatz von Derivaten und Finanzinstrumenten mit derivativer Komponente gemäß Absatz 1 höchstens verdoppelt.</w:t>
      </w:r>
    </w:p>
    <w:p>
      <w:r>
        <w:t xml:space="preserve">(3) Das Bundesministerium der Finanzen wird ermächtigt, durch Rechtsverordnung, die nicht der Zustimmung des Bundesrates bedarf,</w:t>
      </w:r>
    </w:p>
    <w:p>
      <w:pPr>
        <w:ind w:left="420"/>
      </w:pPr>
      <w:r>
        <w:t xml:space="preserve">1. die Beschaffenheit von zulässigen Risikomesssystemen für Derivate einschließlich der Bemessungsmethode des Marktrisikopotenzials festzulegen,</w:t>
      </w:r>
    </w:p>
    <w:p>
      <w:pPr>
        <w:ind w:left="420"/>
      </w:pPr>
      <w:r>
        <w:t xml:space="preserve">2. vorzuschreiben, wie die Derivate auf die Grenzen gemäß den §§ 206 und 207 anzurechnen sind,</w:t>
      </w:r>
    </w:p>
    <w:p>
      <w:pPr>
        <w:ind w:left="420"/>
      </w:pPr>
      <w:r>
        <w:t xml:space="preserve">3. nähere Bestimmungen über Derivate zu erlassen, die nicht zum Handel an einer Börse zugelassen oder an einem anderen organisierten Markt zugelassen oder in diesen einbezogen sind,</w:t>
      </w:r>
    </w:p>
    <w:p>
      <w:pPr>
        <w:ind w:left="420"/>
      </w:pPr>
      <w:r>
        <w:t xml:space="preserve">4. Bestimmungen über die Berechnung und Begrenzung des Anrechnungsbetrages für das Kontrahentenrisiko nach § 206 Absatz 5 Satz 1 Nummer 3 festzulegen,</w:t>
      </w:r>
    </w:p>
    <w:p>
      <w:pPr>
        <w:ind w:left="420"/>
      </w:pPr>
      <w:r>
        <w:t xml:space="preserve">5. Aufzeichnungs- und Unterrichtungspflichten festzulegen,</w:t>
      </w:r>
    </w:p>
    <w:p>
      <w:pPr>
        <w:ind w:left="420"/>
      </w:pPr>
      <w:r>
        <w:t xml:space="preserve">6. weitere Voraussetzungen für den Abschluss von Geschäften, die Derivate zum Gegenstand haben, festzulegen, insbesondere für Derivate, deren Wertentwicklung zur Wertentwicklung des dazugehörigen Basiswertes entgegengesetzt verläuft.</w:t>
      </w:r>
    </w:p>
    <w:p>
      <w:r>
        <w:t xml:space="preserve">Das Bundesministerium der Finanzen kann die Ermächtigung durch Rechtsverordnung auf die Bundesanstalt übertragen.</w:t>
      </w:r>
    </w:p>
    <w:p>
      <w:r>
        <w:rPr>
          <w:color w:val="555555"/>
          <w:sz w:val="17"/>
        </w:rPr>
        <w:t xml:space="preserve">Zitiervorschlag: § 197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https://recht.nulegal.eu/gesetze/KAGB/197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