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196 KAGB — Investmentanteile</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OGAW-Kapitalverwaltungsgesellschaft kann für Rechnung eines inländischen OGAW Anteile an OGAW erwerben. Anteile an anderen inländischen Sondervermögen und Investmentaktiengesellschaften mit veränderlichem Kapital sowie Anteile an offenen EU-AIF und ausländischen offenen AIF kann sie nur erwerben, wenn</w:t>
      </w:r>
    </w:p>
    <w:p>
      <w:pPr>
        <w:ind w:left="420"/>
      </w:pPr>
      <w:r>
        <w:t xml:space="preserve">1. diese nach Rechtsvorschriften zugelassen wurden, die sie einer wirksamen öffentlichen Aufsicht zum Schutz der Anleger unterstellen und ausreichende Gewähr für eine befriedigende Zusammenarbeit zwischen den Behörden besteht,</w:t>
      </w:r>
    </w:p>
    <w:p>
      <w:pPr>
        <w:ind w:left="420"/>
      </w:pPr>
      <w:r>
        <w:t xml:space="preserve">2. das Schutzniveau des Anlegers dem Schutzniveau eines Anlegers in einem inländischen OGAW gleichwertig ist und insbesondere die Vorschriften für die getrennte Verwahrung der Vermögensgegenstände, für die Kreditaufnahme und die Kreditgewährung sowie für Leerverkäufe von Wertpapieren und Geldmarktinstrumenten den Anforderungen der Richtlinie 85/611/EWG gleichwertig sind,</w:t>
      </w:r>
    </w:p>
    <w:p>
      <w:pPr>
        <w:ind w:left="420"/>
      </w:pPr>
      <w:r>
        <w:t xml:space="preserve">3. die Geschäftstätigkeit Gegenstand von Jahres- und Halbjahresberichten ist, die es erlauben, sich ein Urteil über das Vermögen und die Verbindlichkeiten, die Erträge und die Transaktionen im Berichtszeitraum zu bilden,</w:t>
      </w:r>
    </w:p>
    <w:p>
      <w:pPr>
        <w:ind w:left="420"/>
      </w:pPr>
      <w:r>
        <w:t xml:space="preserve">4. die Anteile dem Publikum ohne eine zahlenmäßige Begrenzung angeboten werden und die Anleger das Recht zur Rückgabe der Anteile haben.</w:t>
      </w:r>
    </w:p>
    <w:p>
      <w:r>
        <w:t xml:space="preserve">Anteile an inländischen Sondervermögen, an Investmentaktiengesellschaften mit veränderlichem Kapital, an EU-OGAW, an offenen EU-AIF und an ausländischen offenen AIF dürfen nur erworben werden, wenn nach den Anlagebedingungen oder der Satzung der Kapitalverwaltungsgesellschaft, der Investmentaktiengesellschaft mit veränderlichem Kapital, des EU-Investmentvermögens, der EU-Verwaltungsgesellschaft, des ausländischen AIF oder der ausländischen AIF-Verwaltungsgesellschaft insgesamt höchstens 10 Prozent des Wertes ihres Vermögens in Anteilen an anderen inländischen Sondervermögen, Investmentaktiengesellschaften mit veränderlichem Kapital, offenen EU-Investmentvermögen oder ausländischen offenen AIF angelegt werden dürfen.</w:t>
      </w:r>
    </w:p>
    <w:p>
      <w:r>
        <w:t xml:space="preserve">(2) Beim Erwerb von Anteilen im Sinne des Absatzes 1, die direkt oder indirekt von derselben OGAW-Kapitalverwaltungsgesellschaft oder von einer Gesellschaft verwaltet werden, mit der die OGAW-Kapitalverwaltungsgesellschaft durch eine wesentliche unmittelbare oder mittelbare Beteiligung verbunden ist, darf die OGAW-Kapitalverwaltungsgesellschaft oder die andere Gesellschaft für den Erwerb und die Rücknahme keine Ausgabeaufschläge und Rücknahmeabschläge berechnen.</w:t>
      </w:r>
    </w:p>
    <w:p>
      <w:r>
        <w:rPr>
          <w:color w:val="555555"/>
          <w:sz w:val="17"/>
        </w:rPr>
        <w:t xml:space="preserve">Zitiervorschlag: § 196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