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195 KAGB — Bankguthaben</w:t>
      </w:r>
    </w:p>
    <w:p>
      <w:r>
        <w:rPr>
          <w:color w:val="555555"/>
          <w:sz w:val="18"/>
        </w:rPr>
        <w:t xml:space="preserve">Kapitalanlagegesetzbuch</w:t>
      </w:r>
    </w:p>
    <w:p>
      <w:r>
        <w:rPr>
          <w:color w:val="555555"/>
          <w:sz w:val="18"/>
        </w:rPr>
        <w:t xml:space="preserve">Stand: 10.06.2019 (konsolidierte Textfassung, kein amtliches Inkrafttretensdatum)</w:t>
      </w:r>
    </w:p>
    <w:p>
      <w:r>
        <w:t xml:space="preserve">Die OGAW-Kapitalverwaltungsgesellschaft darf für Rechnung eines inländischen OGAW nur Bankguthaben halten, die eine Laufzeit von höchstens zwölf Monaten haben. Die auf Sperrkonten zu führenden Guthaben können bei einem Kreditinstitut mit Sitz in einem Mitgliedstaat der Europäischen Union oder einem anderen Vertragsstaat des Abkommens über den Europäischen Wirtschaftsraum unterhalten werden; die Guthaben können auch bei einem Kreditinstitut mit Sitz in einem Drittstaat, dessen Aufsichtsbestimmungen nach Auffassung der Bundesanstalt denjenigen des Rechts der Europäischen Union gleichwertig sind, gehalten werden.</w:t>
      </w:r>
    </w:p>
    <w:p>
      <w:r>
        <w:rPr>
          <w:color w:val="555555"/>
          <w:sz w:val="17"/>
        </w:rPr>
        <w:t xml:space="preserve">Zitiervorschlag: § 195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https://recht.nulegal.eu/gesetze/KAGB/195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195 KAGB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