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 KAGB — Rechtsfolgen der Verschmelzung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Eine Verschmelzung durch Aufnahme hat folgende Auswirkungen:</w:t>
      </w:r>
    </w:p>
    <w:p>
      <w:pPr>
        <w:ind w:left="420"/>
      </w:pPr>
      <w:r>
        <w:t xml:space="preserve">1. alle Vermögensgegenstände und Verbindlichkeiten des übertragenden Sondervermögens gehen auf das übernehmende Sondervermögen oder den übernehmenden EU-OGAW über;</w:t>
      </w:r>
    </w:p>
    <w:p>
      <w:pPr>
        <w:ind w:left="420"/>
      </w:pPr>
      <w:r>
        <w:t xml:space="preserve">2. die Anleger des übertragenden Sondervermögens werden Anleger des übernehmenden Sondervermögens oder des übernehmenden EU-OGAW; sie haben, soweit dies im Verschmelzungsplan vorgesehen ist, Anspruch auf eine Barzahlung in Höhe von bis zu 10 Prozent des Wertes ihrer Anteile am übertragenden Sondervermögen, wobei dies nicht gilt, soweit das übernehmende Sondervermögen oder der übernehmende EU-OGAW Anteilsinhaber des übertragenden Sondervermögens ist; Rechte Dritter an den Anteilen bestehen an den an ihre Stelle tretenden Anteilen weiter und</w:t>
      </w:r>
    </w:p>
    <w:p>
      <w:pPr>
        <w:ind w:left="420"/>
      </w:pPr>
      <w:r>
        <w:t xml:space="preserve">3. das übertragende Sondervermögen erlischt.</w:t>
      </w:r>
    </w:p>
    <w:p>
      <w:r>
        <w:t xml:space="preserve">(2) Eine Verschmelzung durch Neugründung hat folgende Auswirkungen:</w:t>
      </w:r>
    </w:p>
    <w:p>
      <w:pPr>
        <w:ind w:left="420"/>
      </w:pPr>
      <w:r>
        <w:t xml:space="preserve">1. alle Vermögensgegenstände und Verbindlichkeiten der übertragenden Sondervermögen gehen auf das neu gegründete Sondervermögen oder den neu gegründeten EU-OGAW über;</w:t>
      </w:r>
    </w:p>
    <w:p>
      <w:pPr>
        <w:ind w:left="420"/>
      </w:pPr>
      <w:r>
        <w:t xml:space="preserve">2. die Anleger der übertragenden Sondervermögen werden Anleger des neu gegründeten Sondervermögens oder des neu gegründeten EU-OGAW; sie haben, soweit dies im Verschmelzungsplan vorgesehen ist, Anspruch auf eine Barzahlung in Höhe von bis zu 10 Prozent des Wertes ihrer Anteile an dem übertragenden Sondervermögen; Rechte Dritter an den Anteilen bestehen an den an ihre Stelle tretenden Anteilen weiter und</w:t>
      </w:r>
    </w:p>
    <w:p>
      <w:pPr>
        <w:ind w:left="420"/>
      </w:pPr>
      <w:r>
        <w:t xml:space="preserve">3. die übertragenden Sondervermögen erlöschen.</w:t>
      </w:r>
    </w:p>
    <w:p>
      <w:r>
        <w:t xml:space="preserve">(3) Die neuen Anteile des übernehmenden oder neu gegründeten Sondervermögens gelten mit Beginn des Tages, der dem Übertragungsstichtag folgt, als bei den Anlegern des übertragenden Sondervermögens oder EU-OGAW ausgegeben.</w:t>
      </w:r>
    </w:p>
    <w:p>
      <w:r>
        <w:rPr>
          <w:color w:val="555555"/>
          <w:sz w:val="17"/>
        </w:rPr>
        <w:t xml:space="preserve">Zitiervorschlag: § 190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