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189 KAGB — Wirksamwerden der Verschmelzung</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Verschmelzung wird mit Ablauf des Geschäftsjahres des übertragenden Sondervermögens wirksam, wenn</w:t>
      </w:r>
    </w:p>
    <w:p>
      <w:pPr>
        <w:ind w:left="420"/>
      </w:pPr>
      <w:r>
        <w:t xml:space="preserve">1. die Verschmelzung im laufenden Geschäftsjahr genehmigt worden ist,</w:t>
      </w:r>
    </w:p>
    <w:p>
      <w:pPr>
        <w:ind w:left="420"/>
      </w:pPr>
      <w:r>
        <w:t xml:space="preserve">2. soweit erforderlich, die Hauptversammlungen der beteiligten Investmentvermögen zugestimmt haben,</w:t>
      </w:r>
    </w:p>
    <w:p>
      <w:pPr>
        <w:ind w:left="420"/>
      </w:pPr>
      <w:r>
        <w:t xml:space="preserve">3. die Werte des übernehmenden und des übertragenden Sondervermögens oder EU-OGAW zum Ende des Geschäftsjahres des übertragenden Sondervermögens (Übertragungsstichtag) berechnet worden sind und</w:t>
      </w:r>
    </w:p>
    <w:p>
      <w:pPr>
        <w:ind w:left="420"/>
      </w:pPr>
      <w:r>
        <w:t xml:space="preserve">4. das Umtauschverhältnis der Anteile sowie gegebenenfalls der Barzahlung in Höhe von nicht mehr als 10 Prozent des Nettoinventarwertes dieser Anteile zum Übertragungsstichtag festgelegt worden ist.</w:t>
      </w:r>
    </w:p>
    <w:p>
      <w:r>
        <w:t xml:space="preserve">(2) Es kann ein anderer Stichtag bestimmt werden, mit dessen Ablauf die Verschmelzung wirksam werden soll. Dieser Zeitpunkt darf erst nach einer gegebenenfalls erforderlichen Zustimmung der stimmberechtigten Aktionäre der übernehmenden oder übertragenden Investmentaktiengesellschaft mit veränderlichem Kapital oder des übernehmenden oder übertragenden EU-OGAW liegen. Im Übrigen ist Absatz 1 mit der Maßgabe anzuwenden, dass die Werte des übernehmenden und des übertragenden Sondervermögens zu diesem Stichtag zu berechnen sind und das Umtauschverhältnis zu diesem Stichtag festzulegen ist.</w:t>
      </w:r>
    </w:p>
    <w:p>
      <w:r>
        <w:t xml:space="preserve">(3) Die am Verschmelzungsvorgang beteiligten Kapitalverwaltungsgesellschaften und die Verwahrstellen haben die hierfür erforderlichen technischen Umbuchungen und rechtsgeschäftlichen Handlungen vorzunehmen und sich gegenseitig hierüber zu unterrichten.</w:t>
      </w:r>
    </w:p>
    <w:p>
      <w:r>
        <w:t xml:space="preserve">(4) Die Kapitalverwaltungsgesellschaft des übernehmenden Sondervermögens hat das Wirksamwerden der Verschmelzung im Bundesanzeiger und darüber hinaus in einer hinreichend verbreiteten Wirtschafts- oder Tageszeitung oder in den im Verkaufsprospekt bezeichneten elektronischen Informationsmedien bekannt zu machen. Bei einer grenzüberschreitenden Verschmelzung hat sie das Wirksamwerden der Verschmelzung nach den entsprechenden Rechtsvorschriften des Herkunftsstaates des übernehmenden EU-OGAW zu veröffentlichen. Die Bundesanstalt ist hierüber zu unterrichten; bei der Verschmelzung eines EU-OGAW auf ein OGAW-Sondervermögen sind auch die zuständigen Stellen im Herkunftsstaat des übertragenden EU-OGAW zu unterrichten.</w:t>
      </w:r>
    </w:p>
    <w:p>
      <w:r>
        <w:t xml:space="preserve">(5) Eine Verschmelzung, die nach Absatz 1 oder Absatz 2 wirksam geworden ist, kann nicht mehr für nichtig erklärt werden.</w:t>
      </w:r>
    </w:p>
    <w:p>
      <w:r>
        <w:rPr>
          <w:color w:val="555555"/>
          <w:sz w:val="17"/>
        </w:rPr>
        <w:t xml:space="preserve">Zitiervorschlag: § 189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