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 KAGB — Rechte der Anleger</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Anleger des übertragenden Sondervermögens und des übernehmenden Sondervermögens oder EU-OGAW haben das Recht, von der Kapitalverwaltungsgesellschaft Folgendes zu verlangen:</w:t>
      </w:r>
    </w:p>
    <w:p>
      <w:pPr>
        <w:ind w:left="420"/>
      </w:pPr>
      <w:r>
        <w:t xml:space="preserve">1. die Rücknahme ihrer Anteile ohne weitere Kosten, mit Ausnahme der Kosten, die zur Deckung der Auflösungskosten einbehalten werden, oder</w:t>
      </w:r>
    </w:p>
    <w:p>
      <w:pPr>
        <w:ind w:left="420"/>
      </w:pPr>
      <w:r>
        <w:t xml:space="preserve">2. soweit möglich, den Umtausch ihrer Anteile ohne weitere Kosten in Anteile eines anderen Sondervermögens oder EU-OGAW, das mit den bisherigen Anlagegrundsätzen vereinbar ist und von derselben Kapitalverwaltungsgesellschaft oder von einem Unternehmen, das zu der Kapitalverwaltungsgesellschaft in einer Verbindung im Sinne des § 290 Absatz 1 Satz 1 des Handelsgesetzbuchs steht, verwaltet wird.</w:t>
      </w:r>
    </w:p>
    <w:p>
      <w:r>
        <w:t xml:space="preserve">Dieses Recht auf Rücknahme oder Umtausch besteht ab dem Zeitpunkt, in dem die Anleger sowohl des übertragenden Sondervermögens als auch des übernehmenden Sondervermögens oder EU-OGAW nach § 186 Absatz 2 über die geplante Verschmelzung unterrichtet werden; es erlischt fünf Arbeitstage vor dem Zeitpunkt der Berechnung des Umtauschverhältnisses nach § 189 Absatz 1 Nummer 3 oder Artikel 47 Absatz 1 Unterabsatz 1 der Richtlinie 2009/65/EG. § 255 Absatz 3 und 4 bleibt unberührt. Rückgabeerklärungen, die ein Anleger vor der Verschmelzung bezüglich der von ihm gehaltenen Anteile abgibt, gelten nach der Verschmelzung weiter und beziehen sich dann auf Anteile des Anlegers an dem übernehmenden Investmentvermögen mit entsprechendem Wert.</w:t>
      </w:r>
    </w:p>
    <w:p>
      <w:r>
        <w:t xml:space="preserve">(2) Unbeschadet der Bestimmungen des Absatzes 1 kann die Bundesanstalt bei Verschmelzungen abweichend von § 98 Absatz 1 die zeitweilige Aussetzung der Rücknahme der Anteile verlangen oder gestatten, wenn eine solche Aussetzung aus Gründen des Anlegerschutzes gerechtfertigt ist.</w:t>
      </w:r>
    </w:p>
    <w:p>
      <w:r>
        <w:t xml:space="preserve">(3) Die Kapitalverwaltungsgesellschaft hat den Anlegern des übertragenden Sondervermögens und des übernehmenden Sondervermögens oder EU-OGAW sowie der Bundesanstalt auf Anfrage kostenlos eine Abschrift der Erklärung des Prüfers gemäß § 185 Absatz 2 zur Verfügung zu stellen.</w:t>
      </w:r>
    </w:p>
    <w:p>
      <w:r>
        <w:rPr>
          <w:color w:val="555555"/>
          <w:sz w:val="17"/>
        </w:rPr>
        <w:t xml:space="preserve">Zitiervorschlag: § 187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