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186 KAGB — Verschmelzungsinformationen</w:t>
      </w:r>
    </w:p>
    <w:p>
      <w:r>
        <w:rPr>
          <w:color w:val="555555"/>
          <w:sz w:val="18"/>
        </w:rPr>
        <w:t xml:space="preserve">Kapitalanlagegesetzbuch</w:t>
      </w:r>
    </w:p>
    <w:p>
      <w:r>
        <w:rPr>
          <w:color w:val="555555"/>
          <w:sz w:val="18"/>
        </w:rPr>
        <w:t xml:space="preserve">Stand: 01.01.2023 (konsolidierte Textfassung, kein amtliches Inkrafttretensdatum)</w:t>
      </w:r>
    </w:p>
    <w:p>
      <w:r>
        <w:t xml:space="preserve">(1) Den Anlegern des übertragenden Sondervermögens und des übernehmenden Sondervermögens oder EU-OGAW sind von der Kapitalverwaltungsgesellschaft geeignete und präzise Informationen über die geplante Verschmelzung zu übermitteln, damit sie sich ein verlässliches Urteil über die Auswirkungen des Vorhabens auf ihre Anlage bilden und ihre Rechte nach § 187 ausüben können (Verschmelzungsinformationen). Hierbei sind insbesondere die Vorgaben nach Artikel 3 der Richtlinie 2010/44/EU zu beachten.</w:t>
      </w:r>
    </w:p>
    <w:p>
      <w:r>
        <w:t xml:space="preserve">(2) Die Verschmelzungsinformationen sind den Anlegern des übertragenden Sondervermögens und des übernehmenden Sondervermögens oder EU-OGAW erst zu übermitteln, nachdem die Bundesanstalt oder, bei der Verschmelzung eines EU-OGAW auf ein OGAW-Sondervermögen, die zuständigen Stellen des Herkunftsstaates die geplante Verschmelzung genehmigt haben. Zwischen der Übermittlung der Verschmelzungsinformationen und dem Fristablauf für einen Antrag auf Rücknahme oder gegebenenfalls Umtausch ohne weitere Kosten gemäß § 187 Absatz 1 muss ein Zeitraum von mindestens 30 Tagen liegen.</w:t>
      </w:r>
    </w:p>
    <w:p>
      <w:r>
        <w:t xml:space="preserve">(3) Die Verschmelzungsinformationen müssen die folgenden Angaben enthalten:</w:t>
      </w:r>
    </w:p>
    <w:p>
      <w:pPr>
        <w:ind w:left="420"/>
      </w:pPr>
      <w:r>
        <w:t xml:space="preserve">1. Hintergrund der geplanten Verschmelzung und die Beweggründe dafür,</w:t>
      </w:r>
    </w:p>
    <w:p>
      <w:pPr>
        <w:ind w:left="420"/>
      </w:pPr>
      <w:r>
        <w:t xml:space="preserve">2. potenzielle Auswirkungen der geplanten Verschmelzung auf die Anleger nach Maßgabe des Artikels 4 Absatz 1 und 2 der Richtlinie 2010/44/EU, insbesondere hinsichtlich wesentlicher Unterschiede in Bezug auf Anlagepolitik und -strategie, Kosten, erwartetes Ergebnis, Jahres- und Halbjahresberichte, etwaige Beeinträchtigung der Wertentwicklung und gegebenenfalls eine eindeutige Warnung an die Anleger, dass sich hinsichtlich ihrer steuerlichen Behandlung im Zuge der Verschmelzung Änderungen ergeben können,</w:t>
      </w:r>
    </w:p>
    <w:p>
      <w:pPr>
        <w:ind w:left="420"/>
      </w:pPr>
      <w:r>
        <w:t xml:space="preserve">3. spezifische Rechte der Anleger in Bezug auf die geplante Verschmelzung nach Maßgabe des Artikels 4 Absatz 3 und 4 der Richtlinie 2010/44/EU, insbesondere das Recht auf zusätzliche Informationen, auf Erhalt einer Abschrift der Erklärung des Prüfers gemäß § 185 Absatz 2 auf Anfrage, auf kostenlose Rücknahme und gegebenenfalls Umtausch der Anteile gemäß § 187 Absatz 1 sowie die Frist für die Wahrnehmung dieses Rechts,</w:t>
      </w:r>
    </w:p>
    <w:p>
      <w:pPr>
        <w:ind w:left="420"/>
      </w:pPr>
      <w:r>
        <w:t xml:space="preserve">4. maßgebliche Verfahrensaspekte und den geplanten Übertragungsstichtag, zu dem die Verschmelzung wirksam wird, nach Maßgabe des Artikels 4 Absatz 5 bis 8 der Richtlinie 2010/44/EU und</w:t>
      </w:r>
    </w:p>
    <w:p>
      <w:pPr>
        <w:ind w:left="420"/>
      </w:pPr>
      <w:r>
        <w:t xml:space="preserve">5. eine aktuelle Fassung des Basisinformationsblattes gemäß Verordnung (EU) Nr. 1286/2014 oder der wesentlichen Anlegerinformationen gemäß den §§ 164 und 166 oder gemäß Artikel 78 der Richtlinie 2009/65/EG des übernehmenden Sondervermögens oder EU-OGAW nach Maßgabe des Artikels 5 der Richtlinie 2010/44/EU.</w:t>
      </w:r>
    </w:p>
    <w:p>
      <w:r>
        <w:t xml:space="preserve">Werden zu Beginn der Verschmelzungsinformationen die wesentlichen Punkte der Verschmelzung zusammengefasst, ist darin auf den jeweiligen Abschnitt im Dokument zu verweisen, der die weiteren Informationen enthält. Die Verschmelzungsinformationen sind den Anlegern auf einem dauerhaften Datenträger zu übermitteln und auf der Internetseite der Kapitalverwaltungsgesellschaft zugänglich zu machen. Die Kapitalverwaltungsgesellschaft hat die Übermittlung der Verschmelzungsinformationen an die Anleger im Bundesanzeiger bekannt zu machen; dabei ist mitzuteilen, wo und auf welche Weise weitere Informationen zur Verschmelzung erlangt werden können. Die Übermittlung der Verschmelzungsinformationen gilt drei Tage nach der Aufgabe zur Post oder Absendung als erfolgt. Dies gilt nicht, wenn feststeht, dass der dauerhafte Datenträger den Empfänger nicht oder zu einem späteren Zeitpunkt erreicht hat.</w:t>
      </w:r>
    </w:p>
    <w:p>
      <w:r>
        <w:t xml:space="preserve">(4) Wurde die Absicht, EU-OGAW-Investmentanteile am übertragenden oder übernehmenden EU-OGAW im Geltungsbereich dieses Gesetzes zu vertreiben, gemäß § 310 angezeigt, müssen die Verschmelzungsinformationen der Bundesanstalt unverzüglich in deutscher Sprache eingereicht werden. Die EU-OGAW-Verwaltungsgesellschaft oder die Kapitalverwaltungsgesellschaft, die diese Informationen zu übermitteln hat, ist für die Übersetzung verantwortlich. Die Übersetzung hat den Inhalt des Originals richtig und vollständig wiederzugeben.</w:t>
      </w:r>
    </w:p>
    <w:p>
      <w:r>
        <w:rPr>
          <w:color w:val="555555"/>
          <w:sz w:val="17"/>
        </w:rPr>
        <w:t xml:space="preserve">Zitiervorschlag: § 186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https://recht.nulegal.eu/gesetze/KAGB/186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