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185 KAGB — Prüfung der Verschmelzung; Verordnungsermächtigung</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Die Verwahrstellen des übertragenden Sondervermögens und des übernehmenden Sondervermögens oder EU-OGAW haben zu überprüfen, ob die Angaben nach § 184 Satz 3 Nummer 1, 6 und 7 mit den Anforderungen dieses Gesetzes und den Anlagebedingungen des jeweiligen Sondervermögens übereinstimmen.</w:t>
      </w:r>
    </w:p>
    <w:p>
      <w:r>
        <w:t xml:space="preserve">(2) Die Verschmelzung ist entweder durch eine Verwahrstelle, durch einen Wirtschaftsprüfer oder durch den Abschlussprüfer des übertragenden Sondervermögens oder des übernehmenden Sondervermögens oder EU-OGAW zu prüfen. Die Prüfung ist mit einer Erklärung darüber abzuschließen, ob bei der Verschmelzung</w:t>
      </w:r>
    </w:p>
    <w:p>
      <w:pPr>
        <w:ind w:left="420"/>
      </w:pPr>
      <w:r>
        <w:t xml:space="preserve">1. die Kriterien, die im Zeitpunkt der Berechnung des Umtauschverhältnisses für die Bewertung der Vermögensgegenstände und gegebenenfalls der Verbindlichkeiten beschlossen worden sind, beachtet wurden,</w:t>
      </w:r>
    </w:p>
    <w:p>
      <w:pPr>
        <w:ind w:left="420"/>
      </w:pPr>
      <w:r>
        <w:t xml:space="preserve">2. die Barzahlung, sofern eine Barzahlung erfolgt, je Anteil entsprechend den getroffenen Vereinbarungen berechnet wurde und</w:t>
      </w:r>
    </w:p>
    <w:p>
      <w:pPr>
        <w:ind w:left="420"/>
      </w:pPr>
      <w:r>
        <w:t xml:space="preserve">3. die Methode, die zur Berechnung des Umtauschverhältnisses beschlossen worden ist, beachtet wurde und das tatsächliche Umtauschverhältnis zu dem Zeitpunkt, auf den die Berechnung dieses Umtauschverhältnisses erfolgte, nach dieser Methode berechnet wurde.</w:t>
      </w:r>
    </w:p>
    <w:p>
      <w:r>
        <w:t xml:space="preserve">§ 318 Absatz 3 bis 8 sowie die §§ 319, 319b und 323 des Handelsgesetzbuchs gelten entsprechend.</w:t>
      </w:r>
    </w:p>
    <w:p>
      <w:r>
        <w:t xml:space="preserve">(3) Das Bundesministerium der Finanzen wird ermächtigt, im Einvernehmen mit dem Bundesministerium der Justiz und für Verbraucherschutz durch Rechtsverordnung, die nicht der Zustimmung des Bundesrates bedarf, nähere Bestimmungen über den Zeitpunkt der Prüfung, Inhalte der Prüfung sowie Umfang und Darstellungen des Prüfungsberichts zu erlassen, soweit dies zur Erfüllung der Aufgaben der Bundesanstalt erforderlich ist. Das Bundesministerium der Finanzen kann die Ermächtigung durch Rechtsverordnung auf die Bundesanstalt übertragen.</w:t>
      </w:r>
    </w:p>
    <w:p>
      <w:r>
        <w:rPr>
          <w:color w:val="555555"/>
          <w:sz w:val="17"/>
        </w:rPr>
        <w:t xml:space="preserve">Zitiervorschlag: § 185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