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184 KAGB — Verschmelzungsplan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Vertretungsorgane der an der Verschmelzung beteiligten Rechtsträger haben für gemeinschaftliche Rechnung der Anleger des übertragenden Sondervermögens und der Anleger des übernehmenden Sondervermögens oder übernehmenden EU-OGAW einen gemeinsamen Verschmelzungsplan aufzustellen. Soweit unterschiedliche Rechtsträger an der Verschmelzung beteiligt sind, handelt es sich dabei um einen Vertrag, auf den § 311b Absatz 2 des Bürgerlichen Gesetzbuchs keine Anwendung findet. Der Verschmelzungsplan muss mindestens die folgenden Angaben enthalten:</w:t>
      </w:r>
    </w:p>
    <w:p>
      <w:pPr>
        <w:ind w:left="420"/>
      </w:pPr>
      <w:r>
        <w:t xml:space="preserve">1. die Art der Verschmelzung und die beteiligten Sondervermögen oder EU-OGAW,</w:t>
      </w:r>
    </w:p>
    <w:p>
      <w:pPr>
        <w:ind w:left="420"/>
      </w:pPr>
      <w:r>
        <w:t xml:space="preserve">2. den Hintergrund der geplanten Verschmelzung und die Beweggründe dafür,</w:t>
      </w:r>
    </w:p>
    <w:p>
      <w:pPr>
        <w:ind w:left="420"/>
      </w:pPr>
      <w:r>
        <w:t xml:space="preserve">3. die erwarteten Auswirkungen der geplanten Verschmelzung auf die Anleger des übertragenden Sondervermögens und des übernehmenden Sondervermögens oder EU-OGAW,</w:t>
      </w:r>
    </w:p>
    <w:p>
      <w:pPr>
        <w:ind w:left="420"/>
      </w:pPr>
      <w:r>
        <w:t xml:space="preserve">4. die beschlossenen Kriterien für die Bewertung der Vermögensgegenstände und Verbindlichkeiten im Zeitpunkt der Berechnung des Umtauschverhältnisses,</w:t>
      </w:r>
    </w:p>
    <w:p>
      <w:pPr>
        <w:ind w:left="420"/>
      </w:pPr>
      <w:r>
        <w:t xml:space="preserve">5. die Methode zur Berechnung des Umtauschverhältnisses,</w:t>
      </w:r>
    </w:p>
    <w:p>
      <w:pPr>
        <w:ind w:left="420"/>
      </w:pPr>
      <w:r>
        <w:t xml:space="preserve">6. den geplanten Übertragungsstichtag, zu dem die Verschmelzung wirksam wird,</w:t>
      </w:r>
    </w:p>
    <w:p>
      <w:pPr>
        <w:ind w:left="420"/>
      </w:pPr>
      <w:r>
        <w:t xml:space="preserve">7. die für die Übertragung von Vermögenswerten und den Umtausch von Anteilen geltenden Bestimmungen und</w:t>
      </w:r>
    </w:p>
    <w:p>
      <w:pPr>
        <w:ind w:left="420"/>
      </w:pPr>
      <w:r>
        <w:t xml:space="preserve">8. bei einer Verschmelzung durch Neugründung gemäß § 1 Absatz 19 Nummer 37 Buchstabe b die Anlagebedingungen oder die Satzung des neuen Sondervermögens oder EU-OGAW.</w:t>
      </w:r>
    </w:p>
    <w:p>
      <w:r>
        <w:t xml:space="preserve">Weitere Angaben sind zulässig, können aber nicht von der Bundesanstalt verlangt werden.</w:t>
      </w:r>
    </w:p>
    <w:p>
      <w:r>
        <w:rPr>
          <w:color w:val="555555"/>
          <w:sz w:val="17"/>
        </w:rPr>
        <w:t xml:space="preserve">Zitiervorschlag: § 184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https://recht.nulegal.eu/gesetze/KAGB/184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