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KAGB — Verschmelzung eines EU-OGAW auf ein OGAW-Sondervermögen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Werden der Bundesanstalt bei einer geplanten Verschmelzung eines EU-OGAW auf ein OGAW-Sondervermögen Abschriften der Angaben und Unterlagen nach Artikel 39 Absatz 2 der Richtlinie 2009/65/EG von den zuständigen Stellen des Herkunftsmitgliedstaates des übertragenden EU-OGAW übermittelt, prüft sie, ob den Anlegern angemessene Verschmelzungsinformationen zur Verfügung gestellt werden; dabei berücksichtigt sie die potenziellen Auswirkungen der geplanten Verschmelzung auf die Anleger des übernehmenden OGAW-Sondervermögens. Soweit die Bundesanstalt eine Nachbesserung für erforderlich hält, kann sie innerhalb von 15 Arbeitstagen nach dem Erhalt der vollständigen Angaben und Unterlagen gemäß Artikel 39 Absatz 2 der Richtlinie 2009/65/EG von der OGAW-Kapitalverwaltungsgesellschaft des übernehmenden OGAW-Sondervermögens eine Änderung der Verschmelzungsinformationen für die Anleger des übernehmenden OGAW-Sondervermögens verlangen.</w:t>
      </w:r>
    </w:p>
    <w:p>
      <w:r>
        <w:t xml:space="preserve">(2) Verlangt die Bundesanstalt die Nachbesserung der Verschmelzungsinformationen nach Absatz 1, setzt sie die zuständigen Stellen des Herkunftsmitgliedstaates des übertragenden EU-OGAW hierüber in Kenntnis. Sobald sie von der OGAW-Kapitalverwaltungsgesellschaft des übernehmenden OGAW-Sondervermögens eine zufriedenstellende Nachbesserung der Verschmelzungsinformationen erhalten hat, teilt sie dies den zuständigen Stellen des Herkunftsmitgliedstaates des übertragenden EU-OGAW mit, spätestens jedoch innerhalb von 20 Arbeitstagen.</w:t>
      </w:r>
    </w:p>
    <w:p>
      <w:r>
        <w:rPr>
          <w:color w:val="555555"/>
          <w:sz w:val="17"/>
        </w:rPr>
        <w:t xml:space="preserve">Zitiervorschlag: § 183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