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 KAGB — Genehmigung der Verschmelzung</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Die Verschmelzung von Sondervermögen auf ein anderes bestehendes oder ein neues, dadurch gegründetes übernehmendes Sondervermögen (inländische Verschmelzung) oder eines OGAW-Sondervermögens auf ein anderes bestehendes oder einen neuen, dadurch gegründeten übernehmenden EU-OGAW (grenzüberschreitende Verschmelzung) bedarf der Genehmigung der Bundesanstalt.</w:t>
      </w:r>
    </w:p>
    <w:p>
      <w:r>
        <w:t xml:space="preserve">(2) Bei einer Verschmelzung durch Aufnahme hat die Kapitalverwaltungsgesellschaft des übertragenden Sondervermögens dem Antrag auf Genehmigung folgende Angaben und Unterlagen beizufügen:</w:t>
      </w:r>
    </w:p>
    <w:p>
      <w:pPr>
        <w:ind w:left="420"/>
      </w:pPr>
      <w:r>
        <w:t xml:space="preserve">1. den Verschmelzungsplan nach § 184,</w:t>
      </w:r>
    </w:p>
    <w:p>
      <w:pPr>
        <w:ind w:left="420"/>
      </w:pPr>
      <w:r>
        <w:t xml:space="preserve">2. bei grenzüberschreitender Verschmelzung eine aktuelle Fassung des Verkaufsprospekts gemäß Artikel 69 Absatz 1 und 2 der Richtlinie 2009/65/EG und entweder des Basisinformationsblattes gemäß Verordnung (EU) Nr. 1286/2014 oder der wesentlichen Anlegerinformationen gemäß Artikel 78 der Richtlinie 2009/65/EG des übernehmenden EU-OGAW,</w:t>
      </w:r>
    </w:p>
    <w:p>
      <w:pPr>
        <w:ind w:left="420"/>
      </w:pPr>
      <w:r>
        <w:t xml:space="preserve">3. eine Erklärung der Verwahrstellen des übertragenden Sondervermögens und des übernehmenden Sondervermögens oder des EU-OGAW zu ihrer Prüfung nach § 185 Absatz 1 oder bei einer grenzüberschreitenden Verschmelzung gemäß Artikel 41 der Richtlinie 2009/65/EG und</w:t>
      </w:r>
    </w:p>
    <w:p>
      <w:pPr>
        <w:ind w:left="420"/>
      </w:pPr>
      <w:r>
        <w:t xml:space="preserve">4. die Verschmelzungsinformationen nach § 186 Absatz 1 oder bei einer grenzüberschreitenden Verschmelzung gemäß Artikel 43 der Richtlinie 2009/65/EG, die den Anlegern des übertragenden Sondervermögens und des übernehmenden Sondervermögens oder des EU-OGAW zu der geplanten Verschmelzung übermittelt werden sollen.</w:t>
      </w:r>
    </w:p>
    <w:p>
      <w:r>
        <w:t xml:space="preserve">Bei einer Verschmelzung durch Neugründung eines Sondervermögens ist dem Antrag auf Genehmigung zusätzlich zu den in Satz 1 genannten Angaben und Unterlagen ein Antrag auf Genehmigung der Anlagebedingungen des neu zu gründenden Sondervermögens nach den §§ 162 und 163 beizufügen. Bei einer Verschmelzung durch Neugründung eines EU-OGAW ist dem Antrag auf Genehmigung zusätzlich zu den in Satz 1 genannten Angaben und Unterlagen ein Nachweis darüber beizufügen, dass die Genehmigung der Anlagebedingungen des neu zu gründenden EU-OGAW bei der zuständigen Stelle des Herkunftsmitgliedstaates beantragt wurde. Die Angaben und Unterlagen nach Satz 1 Nummer 1 bis 4 sind in deutscher Sprache und bei einer grenzüberschreitenden Verschmelzung auch in der Amtssprache oder in einer der Amtssprachen der zuständigen Stellen des Herkunftsmitgliedstaates des übernehmenden EU-OGAW oder einer von diesen gebilligten Sprache einzureichen.</w:t>
      </w:r>
    </w:p>
    <w:p>
      <w:r>
        <w:t xml:space="preserve">(3) Fehlende Angaben und Unterlagen fordert die Bundesanstalt innerhalb von zehn Arbeitstagen nach Eingang des Genehmigungsantrags an. Liegt der vollständige Antrag vor, übermittelt die Bundesanstalt bei einer grenzüberschreitenden Verschmelzung den zuständigen Stellen des Herkunftsstaates des übernehmenden EU-OGAW unverzüglich Abschriften der Angaben und Unterlagen nach Absatz 2.</w:t>
      </w:r>
    </w:p>
    <w:p>
      <w:r>
        <w:t xml:space="preserve">(4) Die Bundesanstalt prüft, ob den Anlegern angemessene Verschmelzungsinformationen zur Verfügung gestellt werden; dabei berücksichtigt sie die potenziellen Auswirkungen der geplanten Verschmelzung auf die Anleger des übertragenden und des übernehmenden Sondervermögens. Sie kann von der Kapitalverwaltungsgesellschaft des übertragenden Sondervermögens verlangen, dass die Verschmelzungsinformationen für die Anleger des übertragenden Sondervermögens klarer gestaltet werden. Soweit sie eine Nachbesserung der Verschmelzungsinformationen für die Anleger des übernehmenden Sondervermögens für erforderlich hält, kann sie innerhalb von 15 Arbeitstagen nach dem Erhalt des vollständigen Antrags gemäß Absatz 2 eine Änderung verlangen.</w:t>
      </w:r>
    </w:p>
    <w:p>
      <w:r>
        <w:t xml:space="preserve">(5) Die Bundesanstalt genehmigt die geplante Verschmelzung, wenn</w:t>
      </w:r>
    </w:p>
    <w:p>
      <w:pPr>
        <w:ind w:left="420"/>
      </w:pPr>
      <w:r>
        <w:t xml:space="preserve">1. die geplante Verschmelzung den Anforderungen der §§ 183 bis 186 entspricht,</w:t>
      </w:r>
    </w:p>
    <w:p>
      <w:pPr>
        <w:ind w:left="420"/>
      </w:pPr>
      <w:r>
        <w:t xml:space="preserve">2. bei einer grenzüberschreitenden Verschmelzung für den übernehmenden EU-OGAW der Vertrieb der Anteile sowohl gemäß § 310 im Inland als auch gemäß Artikel 93 der Richtlinie 2009/65/EG zumindest in denjenigen Mitgliedstaaten der Europäischen Union oder Vertragsstaaten des Abkommens über den Europäischen Wirtschaftsraum angezeigt wurde, in denen auch für das übertragende OGAW-Sondervermögen der Vertrieb der Anteile gemäß Artikel 93 der Richtlinie 2009/65/EG angezeigt wurde,</w:t>
      </w:r>
    </w:p>
    <w:p>
      <w:pPr>
        <w:ind w:left="420"/>
      </w:pPr>
      <w:r>
        <w:t xml:space="preserve">3. die Bundesanstalt</w:t>
      </w:r>
    </w:p>
    <w:p>
      <w:pPr>
        <w:ind w:left="780"/>
      </w:pPr>
      <w:r>
        <w:t xml:space="preserve">a) keine oder keine weitere Nachbesserung der Verschmelzungsinformationen nach Absatz 4 verlangt hat oder</w:t>
      </w:r>
    </w:p>
    <w:p>
      <w:pPr>
        <w:ind w:left="780"/>
      </w:pPr>
      <w:r>
        <w:t xml:space="preserve">b) bei einer grenzüberschreitenden Verschmelzung keinen Hinweis der zuständigen Stellen des Herkunftsmitgliedstaates des übernehmenden EU-OGAW erhalten hat, dass die Verschmelzungsinformationen nicht zufriedenstellend im Sinne des Artikels 39 Absatz 3 Unterabsatz 4 Satz 1 der Richtlinie 2009/65/EG sind, oder eine Mitteilung der zuständigen Stellen des Herkunftsmitgliedstaates im Sinne des Artikels 39 Absatz 3 Unterabsatz 4 Satz 2 der Richtlinie 2009/65/EG erhalten hat, dass die Nachbesserung der Verschmelzungsinformationen zufriedenstellend ist, und</w:t>
      </w:r>
    </w:p>
    <w:p>
      <w:pPr>
        <w:ind w:left="420"/>
      </w:pPr>
      <w:r>
        <w:t xml:space="preserve">4. bei einer Verschmelzung durch Neugründung eines EU-OGAW ein Nachweis der Genehmigung der Anlagebedingungen des neu gegründeten EU-OGAW durch die zuständige Stelle des Herkunftsstaates von der EU-OGAW-Verwaltungsgesellschaft des neu gegründeten EU-OGAW der Bundesanstalt eingereicht wurde.</w:t>
      </w:r>
    </w:p>
    <w:p>
      <w:r>
        <w:t xml:space="preserve">(6) Die Bundesanstalt teilt der Kapitalverwaltungsgesellschaft innerhalb von 20 Arbeitstagen nach Vorlage der vollständigen Angaben nach Absatz 2 mit, ob die Verschmelzung genehmigt wird. Der Lauf dieser Frist ist gehemmt, solange die Bundesanstalt eine Nachbesserung der Verschmelzungsinformationen nach Absatz 4 verlangt oder ihr bei einer grenzüberschreitenden Verschmelzung eine Mitteilung der zuständigen Stellen des Herkunftsstaates des übernehmenden EU-OGAW vorliegt, dass die Verschmelzungsinformationen nicht zufriedenstellend sind. Ist die Frist bei einer grenzüberschreitenden Verschmelzung gehemmt, gilt Satz 1 mit der Maßgabe, dass die Bundesanstalt der Kapitalverwaltungsgesellschaft nach 20 Arbeitstagen mitteilt, dass die Genehmigung erst erteilt werden kann, wenn sie eine Mitteilung der zuständigen Stellen des Herkunftsmitgliedstaates darüber erhalten hat, dass die Nachbesserung der Verschmelzungsinformationen zufriedenstellend ist und dass damit die Hemmung der Frist beendet ist. Bei einer grenzüberschreitenden Verschmelzung unterrichtet die Bundesanstalt die zuständigen Stellen des Herkunftsstaates des übernehmenden EU-OGAW darüber, ob sie die Genehmigung erteilt hat.</w:t>
      </w:r>
    </w:p>
    <w:p>
      <w:r>
        <w:t xml:space="preserve">(7) Bei einer Verschmelzung durch Neugründung eines Sondervermögens gilt § 163 Absatz 2 mit der Maßgabe, dass an die Stelle der Frist von vier Wochen eine Frist von 20 Arbeitstagen tritt; werden fehlende oder geänderte Angaben oder Unterlagen angefordert, beginnt der Lauf der in Absatz 6 Satz 1 genannten Frist mit dem Eingang der angeforderten Angaben oder Unterlagen erneut.</w:t>
      </w:r>
    </w:p>
    <w:p>
      <w:r>
        <w:rPr>
          <w:color w:val="555555"/>
          <w:sz w:val="17"/>
        </w:rPr>
        <w:t xml:space="preserve">Zitiervorschlag: § 182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