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180 KAGB — Umwandlung in Feederfonds oder Änderung des Masterfonds</w:t>
      </w:r>
    </w:p>
    <w:p>
      <w:r>
        <w:rPr>
          <w:color w:val="555555"/>
          <w:sz w:val="18"/>
        </w:rPr>
        <w:t xml:space="preserve">Kapitalanlagegesetzbuch</w:t>
      </w:r>
    </w:p>
    <w:p>
      <w:r>
        <w:rPr>
          <w:color w:val="555555"/>
          <w:sz w:val="18"/>
        </w:rPr>
        <w:t xml:space="preserve">Stand: 01.01.2023 (konsolidierte Textfassung, kein amtliches Inkrafttretensdatum)</w:t>
      </w:r>
    </w:p>
    <w:p>
      <w:r>
        <w:t xml:space="preserve">(1) Werden die Anlagebedingungen eines inländischen OGAW oder eines Sonstigen Investmentvermögens im Rahmen der Umwandlung in einen Feederfonds erstmals als Anlagebedingungen dieses Feederfonds genehmigt oder wird die Anlage eines Feederfonds in Anteile eines Masterfonds bei einem beabsichtigten Wechsel des Masterfonds gemäß § 171 Absatz 1 erneut genehmigt, hat die Kapitalverwaltungsgesellschaft den Anlegern folgende Informationen zur Verfügung zu stellen:</w:t>
      </w:r>
    </w:p>
    <w:p>
      <w:pPr>
        <w:ind w:left="420"/>
      </w:pPr>
      <w:r>
        <w:t xml:space="preserve">1. den Hinweis, dass die Bundesanstalt die Anlage des Feederfonds in Anteile des Masterfonds genehmigt hat,</w:t>
      </w:r>
    </w:p>
    <w:p>
      <w:pPr>
        <w:ind w:left="420"/>
      </w:pPr>
      <w:r>
        <w:t xml:space="preserve">2. das Basisinformationsblatt gemäß Verordnung (EU) Nr. 1286/2014 oder die wesentlichen Anlegerinformationen nach den §§ 164 und 166 oder nach Artikel 78 der Richtlinie 2009/65/EG über Feederfonds und Masterfonds,</w:t>
      </w:r>
    </w:p>
    <w:p>
      <w:pPr>
        <w:ind w:left="420"/>
      </w:pPr>
      <w:r>
        <w:t xml:space="preserve">3. das Datum der ersten Anlage des Feederfonds in dem Masterfonds oder, wenn er bereits in dem Masterfonds angelegt hat, das Datum des Tages, an dem seine Anlagen die bisher für ihn geltenden Anlagegrenzen übersteigen werden, und</w:t>
      </w:r>
    </w:p>
    <w:p>
      <w:pPr>
        <w:ind w:left="420"/>
      </w:pPr>
      <w:r>
        <w:t xml:space="preserve">4. den Hinweis, dass die Anleger das Recht haben, innerhalb von 30 Tagen die kostenlose Rücknahme ihrer Anteile zu verlangen, gegebenenfalls unter Anrechnung der Gebühren, die zur Abdeckung der Rücknahmekosten entstanden sind.</w:t>
      </w:r>
    </w:p>
    <w:p>
      <w:r>
        <w:t xml:space="preserve">Diese Informationen müssen spätestens 30 Tage vor dem in Satz 1 Nummer 3 genannten Datum auf einem dauerhaften Datenträger zur Verfügung gestellt werden. Die in Satz 1 Nummer 4 genannte Frist beginnt mit dem Zugang der Informationen.</w:t>
      </w:r>
    </w:p>
    <w:p>
      <w:r>
        <w:t xml:space="preserve">(2) Wurde ein EU-OGAW in einen EU-Feeder-OGAW umgewandelt oder ändert ein EU-OGAW als Feederfonds seinen Masterfonds und wurde der EU-OGAW oder der EU-Feeder-OGAW bereits gemäß § 310 zum Vertrieb angezeigt, sind die in Artikel 64 Absatz 1 der Richtlinie 2009/65/EG genannten Informationen den Anlegern in deutscher Sprache auf einem dauerhaften Datenträger zur Verfügung zu stellen. Die EU-OGAW-Verwaltungsgesellschaft oder die Kapitalverwaltungsgesellschaft, die den EU-Feeder-OGAW verwaltet, ist für die Erstellung der Übersetzung verantwortlich. Die Übersetzung muss den Inhalt des Originals richtig und vollständig wiedergeben.</w:t>
      </w:r>
    </w:p>
    <w:p>
      <w:r>
        <w:t xml:space="preserve">(3) Die Kapitalverwaltungsgesellschaft darf für Rechnung des Feederfonds vor Ablauf der in Absatz 1 Satz 2 genannten Frist nur Anteile des Masterfonds unter Berücksichtigung der bisher geltenden Anlagegrenzen erwerben.</w:t>
      </w:r>
    </w:p>
    <w:p>
      <w:r>
        <w:t xml:space="preserve">(4) In den Fällen der Umwandlung in einen Feederfonds nach Absatz 1 ist die Übertragung aller Vermögensgegenstände des in den Feederfonds umgewandelten Investmentvermögens an den Masterfonds gegen Ausgabe von Anteilen am Masterfonds zulässig.</w:t>
      </w:r>
    </w:p>
    <w:p>
      <w:r>
        <w:rPr>
          <w:color w:val="555555"/>
          <w:sz w:val="17"/>
        </w:rPr>
        <w:t xml:space="preserve">Zitiervorschlag: § 180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