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174 KAGB — Anlagegrenzen, Anlagebeschränkungen, Aussetzung der Anteile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18.04.2026 (konsolidierte Textfassung, kein amtliches Inkrafttretensdatum)</w:t>
      </w:r>
    </w:p>
    <w:p>
      <w:r>
        <w:t xml:space="preserve">(1) Die Kapitalverwaltungsgesellschaft hat für einen Feederfonds ungeachtet der Anlagegrenzen nach § 207 Absatz 1, § 210 Absatz 3 und § 221 Absatz 3 mindestens 85 Prozent des Wertes des Feederfonds in Anteile eines Masterfonds anzulegen. Der Feederfonds darf erst dann über die Anlagegrenzen nach § 207 Absatz 1, § 210 Absatz 3 und § 221 Absatz 3 hinaus in Anteile eines Masterfonds anlegen, wenn die Genehmigung nach § 171 erteilt worden ist und die Master-Feeder-Vereinbarung nach § 175 Absatz 1 und, falls erforderlich, die Verwahrstellenvereinbarung nach § 175 Absatz 2 und die Abschlussprüfervereinbarung nach § 175 Absatz 3 wirksam geworden sind.Die Kapitalverwaltungsgesellschaft darf bis zu 15 Prozent des Wertes des Feederfonds anlegen in</w:t>
      </w:r>
    </w:p>
    <w:p>
      <w:pPr>
        <w:ind w:left="420"/>
      </w:pPr>
      <w:r>
        <w:t xml:space="preserve">1. Bankguthaben nach § 195, sofern diese täglich verfügbar sind, und</w:t>
      </w:r>
    </w:p>
    <w:p>
      <w:pPr>
        <w:ind w:left="420"/>
      </w:pPr>
      <w:r>
        <w:t xml:space="preserve">2. Derivate nach § 197 Absatz 1, sofern diese ausschließlich für Absicherungszwecke verwendet werden.</w:t>
      </w:r>
    </w:p>
    <w:p>
      <w:r>
        <w:t xml:space="preserve">§ 112 Absatz 2 Satz 1 und 2 bleibt unberührt.</w:t>
      </w:r>
    </w:p>
    <w:p>
      <w:r>
        <w:t xml:space="preserve">(2) Die Kapitalverwaltungsgesellschaft darf für Rechnung eines Masterfonds keine Anteile an einem Feederfonds halten.</w:t>
      </w:r>
    </w:p>
    <w:p>
      <w:r>
        <w:t xml:space="preserve">(3) Die Kapitalverwaltungsgesellschaft muss für die Zwecke der Einhaltung des § 197 Absatz 2 das Marktrisikopotenzial eines Feederfonds berechnen aus der Kombination seines Marktrisikopotenzials durch den Einsatz von Derivaten nach Absatz 1 Satz 3 Nummer 2 mit</w:t>
      </w:r>
    </w:p>
    <w:p>
      <w:pPr>
        <w:ind w:left="420"/>
      </w:pPr>
      <w:r>
        <w:t xml:space="preserve">1. dem tatsächlichen Marktrisikopotenzial des Masterfonds durch den Einsatz von Derivaten im Verhältnis zur Anlage des Feederfonds in dem Masterfonds oder</w:t>
      </w:r>
    </w:p>
    <w:p>
      <w:pPr>
        <w:ind w:left="420"/>
      </w:pPr>
      <w:r>
        <w:t xml:space="preserve">2. dem höchstmöglichen Marktrisikopotenzial des Masterfonds durch den Einsatz von Derivaten gemäß seiner Anlagebedingungen oder seiner Satzung im Verhältnis zur Anlage des Feederfonds in dem Masterfonds.</w:t>
      </w:r>
    </w:p>
    <w:p>
      <w:r>
        <w:t xml:space="preserve">(4) Werden die Rückkäufe oder wird die Rücknahme der Anteile eines Masterfonds zeitweilig ausgesetzt, ist die den Feederfonds verwaltende Kapitalverwaltungsgesellschaft abweichend von § 98 Absatz 2 Satz 1 oder § 116 Absatz 2 Satz 6 dazu berechtigt, die Rückkäufe oder die Rücknahme der Anteile des Feederfonds während des gleichen Zeitraums auszusetzen.</w:t>
      </w:r>
    </w:p>
    <w:p>
      <w:r>
        <w:rPr>
          <w:color w:val="555555"/>
          <w:sz w:val="17"/>
        </w:rPr>
        <w:t xml:space="preserve">Zitiervorschlag: § 174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https://recht.nulegal.eu/gesetze/KAGB/174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